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13"/>
      <w:bookmarkStart w:id="3" w:name="OLE_LINK33"/>
      <w:bookmarkStart w:id="4" w:name="OLE_LINK12"/>
      <w:r>
        <w:rPr>
          <w:rFonts w:cs="Arial"/>
          <w:b/>
        </w:rPr>
        <w:t>3GPP TSG-RAN WG2 Meeting #1</w:t>
      </w:r>
      <w:r>
        <w:rPr>
          <w:rFonts w:hint="eastAsia" w:cs="Arial"/>
          <w:b/>
          <w:lang w:val="en-US" w:eastAsia="zh-CN"/>
        </w:rPr>
        <w:t>21</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300931</w:t>
      </w:r>
    </w:p>
    <w:p>
      <w:pPr>
        <w:snapToGrid w:val="0"/>
        <w:spacing w:after="0" w:line="240" w:lineRule="auto"/>
        <w:rPr>
          <w:rFonts w:hint="eastAsia" w:cs="Arial" w:eastAsiaTheme="minorEastAsia"/>
          <w:b/>
          <w:lang w:val="en-US" w:eastAsia="zh-CN"/>
        </w:rPr>
      </w:pPr>
      <w:r>
        <w:rPr>
          <w:rFonts w:hint="eastAsia" w:cs="Arial"/>
          <w:b/>
          <w:lang w:val="en-US" w:eastAsia="zh-CN"/>
        </w:rPr>
        <w:t>Athens</w:t>
      </w:r>
      <w:r>
        <w:rPr>
          <w:rFonts w:cs="Arial"/>
          <w:b/>
        </w:rPr>
        <w:t xml:space="preserve">, </w:t>
      </w:r>
      <w:r>
        <w:rPr>
          <w:rFonts w:hint="eastAsia" w:cs="Arial"/>
          <w:b/>
          <w:lang w:val="en-US" w:eastAsia="zh-CN"/>
        </w:rPr>
        <w:t>Feb</w:t>
      </w:r>
      <w:r>
        <w:rPr>
          <w:rFonts w:cs="Arial"/>
          <w:b/>
        </w:rPr>
        <w:t xml:space="preserve"> </w:t>
      </w:r>
      <w:r>
        <w:rPr>
          <w:rFonts w:hint="eastAsia" w:cs="Arial"/>
          <w:b/>
          <w:lang w:val="en-US" w:eastAsia="zh-CN"/>
        </w:rPr>
        <w:t>27</w:t>
      </w:r>
      <w:r>
        <w:rPr>
          <w:rFonts w:hint="eastAsia" w:cs="Arial"/>
          <w:b/>
          <w:vertAlign w:val="superscript"/>
          <w:lang w:val="en-US" w:eastAsia="zh-CN"/>
        </w:rPr>
        <w:t>th</w:t>
      </w:r>
      <w:r>
        <w:rPr>
          <w:rFonts w:cs="Arial"/>
          <w:b/>
        </w:rPr>
        <w:t xml:space="preserve"> –</w:t>
      </w:r>
      <w:r>
        <w:rPr>
          <w:rFonts w:hint="eastAsia" w:cs="Arial"/>
          <w:b/>
          <w:lang w:val="en-US" w:eastAsia="zh-CN"/>
        </w:rPr>
        <w:t xml:space="preserve"> Mar 3</w:t>
      </w:r>
      <w:r>
        <w:rPr>
          <w:rFonts w:hint="eastAsia" w:cs="Arial"/>
          <w:b/>
          <w:vertAlign w:val="superscript"/>
          <w:lang w:val="en-US" w:eastAsia="zh-CN"/>
        </w:rPr>
        <w:t>rd</w:t>
      </w:r>
      <w:r>
        <w:rPr>
          <w:rFonts w:cs="Arial"/>
          <w:b/>
        </w:rPr>
        <w:t>, 202</w:t>
      </w:r>
      <w:r>
        <w:rPr>
          <w:rFonts w:hint="eastAsia" w:cs="Arial"/>
          <w:b/>
          <w:lang w:val="en-US" w:eastAsia="zh-CN"/>
        </w:rPr>
        <w:t>3</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BW aggregation and RedCap positioning</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lang w:val="en-US" w:eastAsia="zh-CN"/>
        </w:rPr>
        <w:t>8.2.5</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pageBreakBefore w:val="0"/>
        <w:numPr>
          <w:ilvl w:val="0"/>
          <w:numId w:val="5"/>
        </w:numPr>
        <w:kinsoku/>
        <w:wordWrap/>
        <w:topLinePunct w:val="0"/>
        <w:bidi w:val="0"/>
        <w:adjustRightInd w:val="0"/>
        <w:snapToGrid w:val="0"/>
        <w:spacing w:before="157" w:beforeLines="50" w:after="157" w:afterLines="50" w:line="240" w:lineRule="auto"/>
        <w:rPr>
          <w:sz w:val="28"/>
          <w:lang w:val="en-US"/>
        </w:rPr>
      </w:pPr>
      <w:r>
        <w:rPr>
          <w:sz w:val="28"/>
          <w:lang w:val="en-US"/>
        </w:rPr>
        <w:t>Introduction</w:t>
      </w:r>
    </w:p>
    <w:p>
      <w:pPr>
        <w:pageBreakBefore w:val="0"/>
        <w:kinsoku/>
        <w:wordWrap/>
        <w:topLinePunct w:val="0"/>
        <w:bidi w:val="0"/>
        <w:adjustRightInd w:val="0"/>
        <w:snapToGrid w:val="0"/>
        <w:spacing w:before="157" w:beforeLines="50" w:after="157" w:afterLines="50" w:line="240" w:lineRule="auto"/>
        <w:jc w:val="both"/>
        <w:rPr>
          <w:rFonts w:hint="eastAsia" w:ascii="Times New Roman" w:hAnsi="Times New Roman"/>
          <w:sz w:val="20"/>
          <w:szCs w:val="20"/>
          <w:lang w:val="en-US" w:eastAsia="zh-CN"/>
        </w:rPr>
      </w:pPr>
      <w:r>
        <w:rPr>
          <w:rFonts w:ascii="Times New Roman" w:hAnsi="Times New Roman"/>
          <w:iCs/>
          <w:sz w:val="20"/>
          <w:szCs w:val="20"/>
        </w:rPr>
        <w:t>In RAN#9</w:t>
      </w:r>
      <w:r>
        <w:rPr>
          <w:rFonts w:hint="eastAsia" w:ascii="Times New Roman" w:hAnsi="Times New Roman"/>
          <w:iCs/>
          <w:sz w:val="20"/>
          <w:szCs w:val="20"/>
        </w:rPr>
        <w:t>8</w:t>
      </w:r>
      <w:r>
        <w:rPr>
          <w:rFonts w:ascii="Times New Roman" w:hAnsi="Times New Roman"/>
          <w:iCs/>
          <w:sz w:val="20"/>
          <w:szCs w:val="20"/>
        </w:rPr>
        <w:t xml:space="preserve">e meeting, a </w:t>
      </w:r>
      <w:r>
        <w:rPr>
          <w:rFonts w:hint="eastAsia" w:ascii="Times New Roman" w:hAnsi="Times New Roman"/>
          <w:iCs/>
          <w:sz w:val="20"/>
          <w:szCs w:val="20"/>
        </w:rPr>
        <w:t>W</w:t>
      </w:r>
      <w:r>
        <w:rPr>
          <w:rFonts w:ascii="Times New Roman" w:hAnsi="Times New Roman"/>
          <w:iCs/>
          <w:sz w:val="20"/>
          <w:szCs w:val="20"/>
        </w:rPr>
        <w:t>ID</w:t>
      </w:r>
      <w:r>
        <w:rPr>
          <w:rFonts w:hint="eastAsia" w:ascii="Times New Roman" w:hAnsi="Times New Roman"/>
          <w:iCs/>
          <w:sz w:val="20"/>
          <w:szCs w:val="20"/>
          <w:lang w:val="en-US" w:eastAsia="zh-CN"/>
        </w:rPr>
        <w:t>[1]</w:t>
      </w:r>
      <w:r>
        <w:rPr>
          <w:rFonts w:ascii="Times New Roman" w:hAnsi="Times New Roman"/>
          <w:iCs/>
          <w:sz w:val="20"/>
          <w:szCs w:val="20"/>
        </w:rPr>
        <w:t xml:space="preserve"> </w:t>
      </w:r>
      <w:r>
        <w:rPr>
          <w:rFonts w:hint="eastAsia" w:ascii="Times New Roman" w:hAnsi="Times New Roman"/>
          <w:iCs/>
          <w:sz w:val="20"/>
          <w:szCs w:val="20"/>
        </w:rPr>
        <w:t>o</w:t>
      </w:r>
      <w:r>
        <w:rPr>
          <w:rFonts w:ascii="Times New Roman" w:hAnsi="Times New Roman"/>
          <w:iCs/>
          <w:sz w:val="20"/>
          <w:szCs w:val="20"/>
        </w:rPr>
        <w:t>n Expanded and Improved NR Positioning was approved for Rel-18 where item</w:t>
      </w:r>
      <w:r>
        <w:rPr>
          <w:rFonts w:hint="eastAsia" w:ascii="Times New Roman" w:hAnsi="Times New Roman"/>
          <w:iCs/>
          <w:sz w:val="20"/>
          <w:szCs w:val="20"/>
          <w:lang w:val="en-US" w:eastAsia="zh-CN"/>
        </w:rPr>
        <w:t xml:space="preserve">s to </w:t>
      </w:r>
      <w:r>
        <w:rPr>
          <w:rFonts w:hint="eastAsia" w:ascii="Times New Roman" w:hAnsi="Times New Roman"/>
          <w:iCs/>
          <w:sz w:val="20"/>
          <w:szCs w:val="20"/>
        </w:rPr>
        <w:t xml:space="preserve">specify </w:t>
      </w:r>
      <w:r>
        <w:rPr>
          <w:rFonts w:ascii="Times New Roman" w:hAnsi="Times New Roman"/>
          <w:iCs/>
          <w:sz w:val="20"/>
          <w:szCs w:val="20"/>
        </w:rPr>
        <w:t xml:space="preserve">bandwidth aggregation </w:t>
      </w:r>
      <w:r>
        <w:rPr>
          <w:rFonts w:ascii="Times New Roman" w:hAnsi="Times New Roman"/>
          <w:bCs/>
          <w:sz w:val="20"/>
          <w:szCs w:val="20"/>
        </w:rPr>
        <w:t>techniques</w:t>
      </w:r>
      <w:r>
        <w:rPr>
          <w:rFonts w:hint="eastAsia" w:ascii="Times New Roman" w:hAnsi="Times New Roman"/>
          <w:bCs/>
          <w:sz w:val="20"/>
          <w:szCs w:val="20"/>
          <w:lang w:val="en-US" w:eastAsia="zh-CN"/>
        </w:rPr>
        <w:t xml:space="preserve"> and RedCap positioning are</w:t>
      </w:r>
      <w:r>
        <w:rPr>
          <w:rFonts w:ascii="Times New Roman" w:hAnsi="Times New Roman"/>
          <w:iCs/>
          <w:sz w:val="20"/>
          <w:szCs w:val="20"/>
        </w:rPr>
        <w:t xml:space="preserve"> as</w:t>
      </w:r>
      <w:bookmarkStart w:id="8" w:name="_GoBack"/>
      <w:bookmarkEnd w:id="8"/>
      <w:r>
        <w:rPr>
          <w:rFonts w:ascii="Times New Roman" w:hAnsi="Times New Roman"/>
          <w:iCs/>
          <w:sz w:val="20"/>
          <w:szCs w:val="20"/>
        </w:rPr>
        <w:t xml:space="preserve"> follows</w:t>
      </w:r>
      <w:r>
        <w:rPr>
          <w:rFonts w:hint="eastAsia" w:ascii="Times New Roman" w:hAnsi="Times New Roman"/>
          <w:sz w:val="20"/>
          <w:szCs w:val="20"/>
          <w:lang w:val="en-US" w:eastAsia="zh-CN"/>
        </w:rPr>
        <w: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numPr>
                <w:ilvl w:val="0"/>
                <w:numId w:val="6"/>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support of positioning for UEs with Reduced Capabilities (RedCap UEs)</w:t>
            </w:r>
          </w:p>
          <w:p>
            <w:pPr>
              <w:pageBreakBefore w:val="0"/>
              <w:numPr>
                <w:ilvl w:val="1"/>
                <w:numId w:val="6"/>
              </w:numPr>
              <w:kinsoku/>
              <w:wordWrap/>
              <w:topLinePunct w:val="0"/>
              <w:bidi w:val="0"/>
              <w:adjustRightInd w:val="0"/>
              <w:snapToGrid w:val="0"/>
              <w:spacing w:before="157" w:beforeLines="50" w:after="157" w:afterLines="50" w:line="240" w:lineRule="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 xml:space="preserve">Specify support of Frequency Hopping (FH) beyond maximum RedCap UE bandwidth for reception of DL PRS </w:t>
            </w:r>
            <w:r>
              <w:rPr>
                <w:rFonts w:hint="default" w:ascii="Times New Roman" w:hAnsi="Times New Roman" w:cs="Times New Roman"/>
                <w:sz w:val="20"/>
                <w:szCs w:val="20"/>
                <w:lang w:val="en-US" w:eastAsia="zh-CN"/>
              </w:rPr>
              <w:t>and</w:t>
            </w:r>
            <w:r>
              <w:rPr>
                <w:rFonts w:hint="default" w:ascii="Times New Roman" w:hAnsi="Times New Roman" w:eastAsia="MS Mincho" w:cs="Times New Roman"/>
                <w:sz w:val="20"/>
                <w:szCs w:val="20"/>
                <w:lang w:val="en-US" w:eastAsia="ko-KR"/>
              </w:rPr>
              <w:t xml:space="preserve"> transmission of UL SRS for positioning [RAN1, RAN2].</w:t>
            </w:r>
          </w:p>
          <w:p>
            <w:pPr>
              <w:pageBreakBefore w:val="0"/>
              <w:numPr>
                <w:ilvl w:val="0"/>
                <w:numId w:val="7"/>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eastAsia="MS Mincho" w:cs="Times New Roman"/>
                <w:sz w:val="20"/>
                <w:szCs w:val="20"/>
                <w:lang w:val="en-US" w:eastAsia="ko-KR"/>
              </w:rPr>
            </w:pPr>
            <w:r>
              <w:rPr>
                <w:rFonts w:hint="default" w:ascii="Times New Roman" w:hAnsi="Times New Roman" w:eastAsia="MS Mincho" w:cs="Times New Roman"/>
                <w:sz w:val="20"/>
                <w:szCs w:val="20"/>
                <w:lang w:val="en-US" w:eastAsia="ko-KR"/>
              </w:rPr>
              <w:t>Specify bandwidth aggregation for positioning measurements across up to three intra-band contiguous carriers [RAN1, RAN2, RAN4].</w:t>
            </w:r>
          </w:p>
          <w:p>
            <w:pPr>
              <w:pageBreakBefore w:val="0"/>
              <w:numPr>
                <w:ilvl w:val="1"/>
                <w:numId w:val="7"/>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pPr>
              <w:pageBreakBefore w:val="0"/>
              <w:numPr>
                <w:ilvl w:val="2"/>
                <w:numId w:val="7"/>
              </w:numPr>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lang w:val="en-US" w:eastAsia="ko-KR"/>
              </w:rPr>
              <w:t>NOTE: The support of bandwidth aggregation for positioning measurements applies only to timing related measurements (e.g., RSTD, RTOA, and UE/gNB Rx-Tx time difference).</w:t>
            </w:r>
          </w:p>
        </w:tc>
      </w:tr>
    </w:tbl>
    <w:p>
      <w:pPr>
        <w:pageBreakBefore w:val="0"/>
        <w:kinsoku/>
        <w:wordWrap/>
        <w:topLinePunct w:val="0"/>
        <w:bidi w:val="0"/>
        <w:adjustRightInd w:val="0"/>
        <w:snapToGrid w:val="0"/>
        <w:spacing w:before="157" w:beforeLines="50" w:after="157" w:afterLines="50" w:line="240" w:lineRule="auto"/>
        <w:jc w:val="both"/>
        <w:rPr>
          <w:rFonts w:ascii="Times New Roman" w:hAnsi="Times New Roman"/>
          <w:iCs/>
          <w:sz w:val="20"/>
          <w:szCs w:val="20"/>
        </w:rPr>
      </w:pPr>
      <w:r>
        <w:rPr>
          <w:rFonts w:ascii="Times New Roman" w:hAnsi="Times New Roman"/>
          <w:iCs/>
          <w:sz w:val="20"/>
          <w:szCs w:val="20"/>
        </w:rPr>
        <w:t xml:space="preserve">In this contribution, we provide our views on </w:t>
      </w:r>
      <w:r>
        <w:rPr>
          <w:rFonts w:hint="eastAsia" w:ascii="Times New Roman" w:hAnsi="Times New Roman"/>
          <w:iCs/>
          <w:sz w:val="20"/>
          <w:szCs w:val="20"/>
          <w:lang w:val="en-US" w:eastAsia="zh-CN"/>
        </w:rPr>
        <w:t>the configuration of bandwidth aggregation and RedCap positioning</w:t>
      </w:r>
      <w:r>
        <w:rPr>
          <w:rFonts w:ascii="Times New Roman" w:hAnsi="Times New Roman"/>
          <w:sz w:val="20"/>
          <w:szCs w:val="20"/>
          <w:lang w:eastAsia="ko-KR"/>
        </w:rPr>
        <w:t xml:space="preserve"> </w:t>
      </w:r>
      <w:r>
        <w:rPr>
          <w:rFonts w:ascii="Times New Roman" w:hAnsi="Times New Roman"/>
          <w:iCs/>
          <w:sz w:val="20"/>
          <w:szCs w:val="20"/>
        </w:rPr>
        <w:t>from RAN</w:t>
      </w:r>
      <w:r>
        <w:rPr>
          <w:rFonts w:hint="eastAsia" w:ascii="Times New Roman" w:hAnsi="Times New Roman"/>
          <w:iCs/>
          <w:sz w:val="20"/>
          <w:szCs w:val="20"/>
          <w:lang w:val="en-US" w:eastAsia="zh-CN"/>
        </w:rPr>
        <w:t>2</w:t>
      </w:r>
      <w:r>
        <w:rPr>
          <w:rFonts w:ascii="Times New Roman" w:hAnsi="Times New Roman"/>
          <w:iCs/>
          <w:sz w:val="20"/>
          <w:szCs w:val="20"/>
        </w:rPr>
        <w:t xml:space="preserve"> perspective.</w:t>
      </w: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pageBreakBefore w:val="0"/>
        <w:numPr>
          <w:ilvl w:val="1"/>
          <w:numId w:val="5"/>
        </w:numPr>
        <w:kinsoku/>
        <w:wordWrap/>
        <w:topLinePunct w:val="0"/>
        <w:bidi w:val="0"/>
        <w:adjustRightInd w:val="0"/>
        <w:snapToGrid w:val="0"/>
        <w:spacing w:before="157" w:beforeLines="50" w:after="157" w:afterLines="50" w:line="240" w:lineRule="auto"/>
        <w:ind w:left="567" w:leftChars="0" w:hanging="567" w:firstLineChars="0"/>
        <w:rPr>
          <w:lang w:val="en-US" w:eastAsia="zh-CN"/>
        </w:rPr>
      </w:pPr>
      <w:r>
        <w:rPr>
          <w:rFonts w:hint="eastAsia"/>
          <w:sz w:val="24"/>
          <w:szCs w:val="28"/>
          <w:lang w:val="en-US" w:eastAsia="zh-CN"/>
        </w:rPr>
        <w:t xml:space="preserve"> bandwidth aggregation</w:t>
      </w:r>
    </w:p>
    <w:p>
      <w:pPr>
        <w:pStyle w:val="4"/>
        <w:pageBreakBefore w:val="0"/>
        <w:numPr>
          <w:ilvl w:val="2"/>
          <w:numId w:val="8"/>
        </w:numPr>
        <w:tabs>
          <w:tab w:val="clear" w:pos="720"/>
        </w:tabs>
        <w:kinsoku/>
        <w:wordWrap/>
        <w:topLinePunct w:val="0"/>
        <w:bidi w:val="0"/>
        <w:adjustRightInd w:val="0"/>
        <w:snapToGrid w:val="0"/>
        <w:spacing w:before="157" w:beforeLines="50" w:after="157" w:afterLines="50" w:line="240" w:lineRule="auto"/>
        <w:ind w:left="709" w:leftChars="0" w:hanging="709" w:firstLineChars="0"/>
        <w:rPr>
          <w:lang w:val="en-US" w:eastAsia="zh-CN"/>
        </w:rPr>
      </w:pPr>
      <w:r>
        <w:rPr>
          <w:rFonts w:hint="eastAsia"/>
          <w:lang w:val="en-US" w:eastAsia="zh-CN"/>
        </w:rPr>
        <w:t xml:space="preserve"> DL-PRS aggregation </w:t>
      </w:r>
    </w:p>
    <w:p>
      <w:pPr>
        <w:pageBreakBefore w:val="0"/>
        <w:kinsoku/>
        <w:wordWrap/>
        <w:topLinePunct w:val="0"/>
        <w:bidi w:val="0"/>
        <w:adjustRightInd w:val="0"/>
        <w:snapToGrid w:val="0"/>
        <w:spacing w:before="157" w:beforeLines="50" w:after="157" w:afterLines="50" w:line="240" w:lineRule="auto"/>
        <w:jc w:val="both"/>
        <w:rPr>
          <w:rFonts w:hint="default" w:ascii="Times New Roman" w:hAnsi="Times New Roman" w:eastAsiaTheme="minorEastAsia"/>
          <w:iCs/>
          <w:sz w:val="20"/>
          <w:szCs w:val="20"/>
          <w:lang w:val="en-US" w:eastAsia="zh-CN"/>
        </w:rPr>
      </w:pPr>
      <w:r>
        <w:rPr>
          <w:rFonts w:hint="eastAsia" w:ascii="Times New Roman" w:hAnsi="Times New Roman"/>
          <w:iCs/>
          <w:sz w:val="20"/>
          <w:szCs w:val="20"/>
        </w:rPr>
        <w:t>For DL PRS bandwidth aggregation, as RAN4 has concluded that PRS from multiple PFLs (positioning frequency layers) should be transmitted in the same time from the same antenna, and the numerology of PFLs should be the same. From PRS configuration signaling perspective, LMF should explicitly inform UE which two or three PFLs are linked for aggregation</w:t>
      </w:r>
      <w:r>
        <w:rPr>
          <w:rFonts w:hint="eastAsia" w:ascii="Times New Roman" w:hAnsi="Times New Roman"/>
          <w:iCs/>
          <w:sz w:val="20"/>
          <w:szCs w:val="20"/>
          <w:lang w:val="en-US" w:eastAsia="zh-CN"/>
        </w:rPr>
        <w:t>. Then the detail should wait on RAN1</w:t>
      </w:r>
      <w:r>
        <w:rPr>
          <w:rFonts w:hint="default" w:ascii="Times New Roman" w:hAnsi="Times New Roman"/>
          <w:iCs/>
          <w:sz w:val="20"/>
          <w:szCs w:val="20"/>
          <w:lang w:val="en-US" w:eastAsia="zh-CN"/>
        </w:rPr>
        <w:t>’</w:t>
      </w:r>
      <w:r>
        <w:rPr>
          <w:rFonts w:hint="eastAsia" w:ascii="Times New Roman" w:hAnsi="Times New Roman"/>
          <w:iCs/>
          <w:sz w:val="20"/>
          <w:szCs w:val="20"/>
          <w:lang w:val="en-US" w:eastAsia="zh-CN"/>
        </w:rPr>
        <w:t>s further progress, e.g., whether the PRS resources and resource sets should be one-to-one mapping, which kind of parameters of the linked PRS resources or PRS resource sets should be the same, etc.</w:t>
      </w:r>
    </w:p>
    <w:p>
      <w:pPr>
        <w:pageBreakBefore w:val="0"/>
        <w:kinsoku/>
        <w:wordWrap/>
        <w:topLinePunct w:val="0"/>
        <w:bidi w:val="0"/>
        <w:adjustRightInd w:val="0"/>
        <w:snapToGrid w:val="0"/>
        <w:spacing w:before="157" w:beforeLines="50" w:after="157" w:afterLines="50" w:line="240" w:lineRule="auto"/>
        <w:rPr>
          <w:b/>
          <w:bCs/>
          <w:i/>
          <w:iCs w:val="0"/>
          <w:lang w:val="en-US" w:eastAsia="zh-CN"/>
        </w:rPr>
      </w:pPr>
      <w:r>
        <w:rPr>
          <w:rFonts w:hint="eastAsia" w:ascii="Times New Roman" w:hAnsi="Times New Roman"/>
          <w:b/>
          <w:bCs/>
          <w:i/>
          <w:iCs w:val="0"/>
          <w:sz w:val="20"/>
          <w:szCs w:val="20"/>
        </w:rPr>
        <w:t>Proposal 1: Support new LPP signaling to link two or three PFLs for PRS bandwidth aggregation.</w:t>
      </w:r>
    </w:p>
    <w:p>
      <w:pPr>
        <w:pageBreakBefore w:val="0"/>
        <w:kinsoku/>
        <w:wordWrap/>
        <w:topLinePunct w:val="0"/>
        <w:bidi w:val="0"/>
        <w:adjustRightInd w:val="0"/>
        <w:snapToGrid w:val="0"/>
        <w:spacing w:before="157" w:beforeLines="50" w:after="157" w:afterLines="50" w:line="240" w:lineRule="auto"/>
        <w:jc w:val="both"/>
        <w:rPr>
          <w:rFonts w:hint="eastAsia" w:ascii="Times New Roman" w:hAnsi="Times New Roman" w:eastAsiaTheme="minorEastAsia"/>
          <w:sz w:val="20"/>
          <w:szCs w:val="20"/>
          <w:lang w:val="en-US" w:eastAsia="zh-CN"/>
        </w:rPr>
      </w:pPr>
      <w:r>
        <w:rPr>
          <w:rFonts w:hint="eastAsia" w:ascii="Times New Roman" w:hAnsi="Times New Roman"/>
          <w:sz w:val="20"/>
          <w:szCs w:val="20"/>
          <w:lang w:val="en-US" w:eastAsia="zh-CN"/>
        </w:rPr>
        <w:t xml:space="preserve">As for reporting the measurement results, </w:t>
      </w:r>
      <w:r>
        <w:rPr>
          <w:rFonts w:hint="eastAsia" w:ascii="Times New Roman" w:hAnsi="Times New Roman"/>
          <w:sz w:val="20"/>
          <w:szCs w:val="20"/>
        </w:rPr>
        <w:t xml:space="preserve">when UE is configured with BW aggregated PRS via LPP assistance data, the following two options should be </w:t>
      </w:r>
      <w:r>
        <w:rPr>
          <w:rFonts w:hint="eastAsia" w:ascii="Times New Roman" w:hAnsi="Times New Roman"/>
          <w:sz w:val="20"/>
          <w:szCs w:val="20"/>
          <w:lang w:val="en-US" w:eastAsia="zh-CN"/>
        </w:rPr>
        <w:t>considered:</w:t>
      </w:r>
    </w:p>
    <w:p>
      <w:pPr>
        <w:pageBreakBefore w:val="0"/>
        <w:numPr>
          <w:ilvl w:val="0"/>
          <w:numId w:val="9"/>
        </w:numPr>
        <w:kinsoku/>
        <w:wordWrap/>
        <w:topLinePunct w:val="0"/>
        <w:bidi w:val="0"/>
        <w:adjustRightInd w:val="0"/>
        <w:snapToGrid w:val="0"/>
        <w:spacing w:before="157" w:beforeLines="50" w:after="157" w:afterLines="50" w:line="240" w:lineRule="auto"/>
        <w:jc w:val="both"/>
        <w:rPr>
          <w:rFonts w:ascii="Times New Roman" w:hAnsi="Times New Roman"/>
          <w:sz w:val="20"/>
          <w:szCs w:val="20"/>
        </w:rPr>
      </w:pPr>
      <w:r>
        <w:rPr>
          <w:rFonts w:hint="eastAsia" w:ascii="Times New Roman" w:hAnsi="Times New Roman"/>
          <w:sz w:val="20"/>
          <w:szCs w:val="20"/>
        </w:rPr>
        <w:t>Option 1: UE always measures the RSTD or UE Rx-Tx time difference based on the aggregated PFL</w:t>
      </w:r>
      <w:r>
        <w:rPr>
          <w:rFonts w:ascii="Times New Roman" w:hAnsi="Times New Roman"/>
          <w:sz w:val="20"/>
          <w:szCs w:val="20"/>
        </w:rPr>
        <w:t>s</w:t>
      </w:r>
      <w:r>
        <w:rPr>
          <w:rFonts w:hint="eastAsia" w:ascii="Times New Roman" w:hAnsi="Times New Roman"/>
          <w:sz w:val="20"/>
          <w:szCs w:val="20"/>
        </w:rPr>
        <w:t xml:space="preserve">. </w:t>
      </w:r>
    </w:p>
    <w:p>
      <w:pPr>
        <w:pageBreakBefore w:val="0"/>
        <w:numPr>
          <w:ilvl w:val="1"/>
          <w:numId w:val="9"/>
        </w:numPr>
        <w:kinsoku/>
        <w:wordWrap/>
        <w:topLinePunct w:val="0"/>
        <w:bidi w:val="0"/>
        <w:adjustRightInd w:val="0"/>
        <w:snapToGrid w:val="0"/>
        <w:spacing w:before="157" w:beforeLines="50" w:after="157" w:afterLines="50" w:line="240" w:lineRule="auto"/>
        <w:jc w:val="both"/>
        <w:rPr>
          <w:rFonts w:ascii="Times New Roman" w:hAnsi="Times New Roman"/>
          <w:sz w:val="20"/>
          <w:szCs w:val="20"/>
        </w:rPr>
      </w:pPr>
      <w:r>
        <w:rPr>
          <w:rFonts w:hint="eastAsia" w:ascii="Times New Roman" w:hAnsi="Times New Roman"/>
          <w:sz w:val="20"/>
          <w:szCs w:val="20"/>
        </w:rPr>
        <w:t>In such case, the existing measurement element report signaling can be completely reused. The report PRS resource set ID implies that UE measures PRS based on the report PRS resource set and the linked PRS resource set(s) from other PFLs of the same TRP</w:t>
      </w:r>
      <w:r>
        <w:rPr>
          <w:rFonts w:ascii="Times New Roman" w:hAnsi="Times New Roman"/>
          <w:sz w:val="20"/>
          <w:szCs w:val="20"/>
        </w:rPr>
        <w:t>, where t</w:t>
      </w:r>
      <w:r>
        <w:rPr>
          <w:rFonts w:hint="eastAsia" w:ascii="Times New Roman" w:hAnsi="Times New Roman"/>
          <w:sz w:val="20"/>
          <w:szCs w:val="20"/>
        </w:rPr>
        <w:t xml:space="preserve">he link association of aggregated PRS resources is configured by PRS assistance date. </w:t>
      </w:r>
    </w:p>
    <w:p>
      <w:pPr>
        <w:pageBreakBefore w:val="0"/>
        <w:numPr>
          <w:ilvl w:val="0"/>
          <w:numId w:val="9"/>
        </w:numPr>
        <w:kinsoku/>
        <w:wordWrap/>
        <w:topLinePunct w:val="0"/>
        <w:bidi w:val="0"/>
        <w:adjustRightInd w:val="0"/>
        <w:snapToGrid w:val="0"/>
        <w:spacing w:before="157" w:beforeLines="50" w:after="157" w:afterLines="50" w:line="240" w:lineRule="auto"/>
        <w:jc w:val="both"/>
        <w:rPr>
          <w:rFonts w:ascii="Times New Roman" w:hAnsi="Times New Roman"/>
          <w:sz w:val="20"/>
          <w:szCs w:val="20"/>
        </w:rPr>
      </w:pPr>
      <w:r>
        <w:rPr>
          <w:rFonts w:hint="eastAsia" w:ascii="Times New Roman" w:hAnsi="Times New Roman"/>
          <w:sz w:val="20"/>
          <w:szCs w:val="20"/>
        </w:rPr>
        <w:t>Option 2: UE has flexibility to report RSTD or UE Rx-Tx time difference based on either single PFL or aggregated PFL</w:t>
      </w:r>
    </w:p>
    <w:p>
      <w:pPr>
        <w:pageBreakBefore w:val="0"/>
        <w:numPr>
          <w:ilvl w:val="1"/>
          <w:numId w:val="9"/>
        </w:numPr>
        <w:kinsoku/>
        <w:wordWrap/>
        <w:topLinePunct w:val="0"/>
        <w:bidi w:val="0"/>
        <w:adjustRightInd w:val="0"/>
        <w:snapToGrid w:val="0"/>
        <w:spacing w:before="157" w:beforeLines="50" w:after="157" w:afterLines="50" w:line="240" w:lineRule="auto"/>
        <w:jc w:val="both"/>
        <w:rPr>
          <w:rFonts w:ascii="Times New Roman" w:hAnsi="Times New Roman"/>
          <w:sz w:val="20"/>
          <w:szCs w:val="20"/>
        </w:rPr>
      </w:pPr>
      <w:r>
        <w:rPr>
          <w:rFonts w:hint="eastAsia" w:ascii="Times New Roman" w:hAnsi="Times New Roman"/>
          <w:sz w:val="20"/>
          <w:szCs w:val="20"/>
        </w:rPr>
        <w:t xml:space="preserve">In such case, the existing measurement element is not enough. UE needs to newly inform LMF whether a measurement element is based on a single PFL or aggregated PFLs. If three aggregated PFLs are configured, UE needs to further inform LMF whether/which one or two or three PFLs are used for measurement and report. </w:t>
      </w:r>
    </w:p>
    <w:p>
      <w:pPr>
        <w:pageBreakBefore w:val="0"/>
        <w:kinsoku/>
        <w:wordWrap/>
        <w:topLinePunct w:val="0"/>
        <w:bidi w:val="0"/>
        <w:adjustRightInd w:val="0"/>
        <w:snapToGrid w:val="0"/>
        <w:spacing w:before="157" w:beforeLines="50" w:after="157" w:afterLines="50" w:line="240" w:lineRule="auto"/>
        <w:jc w:val="both"/>
        <w:rPr>
          <w:rFonts w:ascii="Times New Roman" w:hAnsi="Times New Roman"/>
          <w:sz w:val="20"/>
          <w:szCs w:val="20"/>
        </w:rPr>
      </w:pPr>
      <w:r>
        <w:rPr>
          <w:rFonts w:hint="eastAsia" w:ascii="Times New Roman" w:hAnsi="Times New Roman"/>
          <w:sz w:val="20"/>
          <w:szCs w:val="20"/>
          <w:lang w:val="en-US" w:eastAsia="zh-CN"/>
        </w:rPr>
        <w:t>O</w:t>
      </w:r>
      <w:r>
        <w:rPr>
          <w:rFonts w:hint="eastAsia" w:ascii="Times New Roman" w:hAnsi="Times New Roman"/>
          <w:sz w:val="20"/>
          <w:szCs w:val="20"/>
        </w:rPr>
        <w:t xml:space="preserve">ption 1 is simple without new signaling needed, but it is less flexible. For example, UE needs to transient into power saving mode for more importance purpose. As long as single PFL measurement can satisfy the location requirement sometimes, option 2 provides more freedom for UE. </w:t>
      </w:r>
    </w:p>
    <w:p>
      <w:pPr>
        <w:pageBreakBefore w:val="0"/>
        <w:kinsoku/>
        <w:wordWrap/>
        <w:topLinePunct w:val="0"/>
        <w:bidi w:val="0"/>
        <w:adjustRightInd w:val="0"/>
        <w:snapToGrid w:val="0"/>
        <w:spacing w:before="157" w:beforeLines="50" w:after="157" w:afterLines="50" w:line="240" w:lineRule="auto"/>
        <w:jc w:val="both"/>
        <w:rPr>
          <w:rFonts w:ascii="Times New Roman" w:hAnsi="Times New Roman"/>
          <w:b/>
          <w:bCs/>
          <w:i/>
          <w:iCs/>
          <w:sz w:val="20"/>
          <w:szCs w:val="20"/>
        </w:rPr>
      </w:pPr>
      <w:r>
        <w:rPr>
          <w:rFonts w:hint="eastAsia" w:ascii="Times New Roman" w:hAnsi="Times New Roman"/>
          <w:b/>
          <w:bCs/>
          <w:i/>
          <w:iCs/>
          <w:sz w:val="20"/>
          <w:szCs w:val="20"/>
        </w:rPr>
        <w:t>Proposal 2: For DL-TDOA and multi-RTT</w:t>
      </w:r>
      <w:r>
        <w:rPr>
          <w:rFonts w:ascii="Times New Roman" w:hAnsi="Times New Roman"/>
          <w:b/>
          <w:bCs/>
          <w:i/>
          <w:iCs/>
          <w:sz w:val="20"/>
          <w:szCs w:val="20"/>
        </w:rPr>
        <w:t xml:space="preserve"> measurement report</w:t>
      </w:r>
      <w:r>
        <w:rPr>
          <w:rFonts w:hint="eastAsia" w:ascii="Times New Roman" w:hAnsi="Times New Roman"/>
          <w:b/>
          <w:bCs/>
          <w:i/>
          <w:iCs/>
          <w:sz w:val="20"/>
          <w:szCs w:val="20"/>
        </w:rPr>
        <w:t>, when UE is configured with BW aggregated PRS via LPP assistance data, select one of the following two options:</w:t>
      </w:r>
    </w:p>
    <w:p>
      <w:pPr>
        <w:pageBreakBefore w:val="0"/>
        <w:numPr>
          <w:ilvl w:val="0"/>
          <w:numId w:val="10"/>
        </w:numPr>
        <w:kinsoku/>
        <w:wordWrap/>
        <w:topLinePunct w:val="0"/>
        <w:bidi w:val="0"/>
        <w:adjustRightInd w:val="0"/>
        <w:snapToGrid w:val="0"/>
        <w:spacing w:before="157" w:beforeLines="50" w:after="157" w:afterLines="50" w:line="240" w:lineRule="auto"/>
        <w:jc w:val="both"/>
        <w:rPr>
          <w:rFonts w:ascii="Times New Roman" w:hAnsi="Times New Roman"/>
          <w:b/>
          <w:bCs/>
          <w:i/>
          <w:sz w:val="20"/>
          <w:szCs w:val="20"/>
        </w:rPr>
      </w:pPr>
      <w:r>
        <w:rPr>
          <w:rFonts w:hint="eastAsia" w:ascii="Times New Roman" w:hAnsi="Times New Roman"/>
          <w:b/>
          <w:bCs/>
          <w:i/>
          <w:sz w:val="20"/>
          <w:szCs w:val="20"/>
        </w:rPr>
        <w:t>Option 1: UE always measures</w:t>
      </w:r>
      <w:r>
        <w:rPr>
          <w:rFonts w:hint="eastAsia" w:ascii="Times New Roman" w:hAnsi="Times New Roman"/>
          <w:b/>
          <w:bCs/>
          <w:i/>
          <w:sz w:val="20"/>
          <w:szCs w:val="20"/>
          <w:lang w:val="en-US" w:eastAsia="zh-CN"/>
        </w:rPr>
        <w:t xml:space="preserve"> and reports</w:t>
      </w:r>
      <w:r>
        <w:rPr>
          <w:rFonts w:hint="eastAsia" w:ascii="Times New Roman" w:hAnsi="Times New Roman"/>
          <w:b/>
          <w:bCs/>
          <w:i/>
          <w:sz w:val="20"/>
          <w:szCs w:val="20"/>
        </w:rPr>
        <w:t xml:space="preserve"> the RSTD or UE Rx-Tx time difference based on the aggregated PFL. </w:t>
      </w:r>
    </w:p>
    <w:p>
      <w:pPr>
        <w:pageBreakBefore w:val="0"/>
        <w:numPr>
          <w:ilvl w:val="0"/>
          <w:numId w:val="10"/>
        </w:numPr>
        <w:kinsoku/>
        <w:wordWrap/>
        <w:topLinePunct w:val="0"/>
        <w:bidi w:val="0"/>
        <w:adjustRightInd w:val="0"/>
        <w:snapToGrid w:val="0"/>
        <w:spacing w:before="157" w:beforeLines="50" w:after="157" w:afterLines="50" w:line="240" w:lineRule="auto"/>
        <w:jc w:val="both"/>
        <w:rPr>
          <w:b/>
          <w:bCs/>
          <w:lang w:val="en-US" w:eastAsia="zh-CN"/>
        </w:rPr>
      </w:pPr>
      <w:r>
        <w:rPr>
          <w:rFonts w:hint="eastAsia" w:ascii="Times New Roman" w:hAnsi="Times New Roman"/>
          <w:b/>
          <w:bCs/>
          <w:i/>
          <w:sz w:val="20"/>
          <w:szCs w:val="20"/>
        </w:rPr>
        <w:t>Option 2: UE has flexibility to</w:t>
      </w:r>
      <w:r>
        <w:rPr>
          <w:rFonts w:hint="eastAsia" w:ascii="Times New Roman" w:hAnsi="Times New Roman"/>
          <w:b/>
          <w:bCs/>
          <w:i/>
          <w:sz w:val="20"/>
          <w:szCs w:val="20"/>
          <w:lang w:val="en-US" w:eastAsia="zh-CN"/>
        </w:rPr>
        <w:t xml:space="preserve"> measure and</w:t>
      </w:r>
      <w:r>
        <w:rPr>
          <w:rFonts w:hint="eastAsia" w:ascii="Times New Roman" w:hAnsi="Times New Roman"/>
          <w:b/>
          <w:bCs/>
          <w:i/>
          <w:sz w:val="20"/>
          <w:szCs w:val="20"/>
        </w:rPr>
        <w:t xml:space="preserve"> report RSTD or UE Rx-Tx time difference based on either single PFL or aggregated PFL</w:t>
      </w:r>
      <w:r>
        <w:rPr>
          <w:rFonts w:hint="eastAsia" w:ascii="Times New Roman" w:hAnsi="Times New Roman"/>
          <w:b/>
          <w:bCs/>
          <w:i/>
          <w:sz w:val="20"/>
          <w:szCs w:val="20"/>
          <w:lang w:val="en-US" w:eastAsia="zh-CN"/>
        </w:rPr>
        <w:t>s.</w:t>
      </w:r>
    </w:p>
    <w:p>
      <w:pPr>
        <w:pStyle w:val="4"/>
        <w:pageBreakBefore w:val="0"/>
        <w:numPr>
          <w:ilvl w:val="2"/>
          <w:numId w:val="8"/>
        </w:numPr>
        <w:tabs>
          <w:tab w:val="clear" w:pos="720"/>
        </w:tabs>
        <w:kinsoku/>
        <w:wordWrap/>
        <w:topLinePunct w:val="0"/>
        <w:bidi w:val="0"/>
        <w:adjustRightInd w:val="0"/>
        <w:snapToGrid w:val="0"/>
        <w:spacing w:before="157" w:beforeLines="50" w:after="157" w:afterLines="50" w:line="240" w:lineRule="auto"/>
        <w:ind w:left="709" w:leftChars="0" w:hanging="709" w:firstLineChars="0"/>
        <w:rPr>
          <w:rFonts w:hint="default" w:ascii="Arial" w:hAnsi="Arial" w:cs="Arial"/>
          <w:lang w:val="en-US" w:eastAsia="zh-CN"/>
        </w:rPr>
      </w:pPr>
      <w:r>
        <w:rPr>
          <w:rFonts w:hint="default" w:ascii="Arial" w:hAnsi="Arial" w:cs="Arial"/>
          <w:lang w:val="en-US" w:eastAsia="zh-CN"/>
        </w:rPr>
        <w:t xml:space="preserve"> UL-SRS aggregation </w:t>
      </w:r>
    </w:p>
    <w:p>
      <w:pPr>
        <w:pageBreakBefore w:val="0"/>
        <w:kinsoku/>
        <w:wordWrap/>
        <w:topLinePunct w:val="0"/>
        <w:bidi w:val="0"/>
        <w:adjustRightInd w:val="0"/>
        <w:snapToGrid w:val="0"/>
        <w:spacing w:before="157" w:beforeLines="50" w:after="157" w:afterLines="50" w:line="240" w:lineRule="auto"/>
        <w:jc w:val="both"/>
        <w:rPr>
          <w:rFonts w:ascii="Times New Roman" w:hAnsi="Times New Roman"/>
          <w:sz w:val="20"/>
          <w:szCs w:val="20"/>
        </w:rPr>
      </w:pPr>
      <w:r>
        <w:rPr>
          <w:rFonts w:hint="eastAsia" w:ascii="Times New Roman" w:hAnsi="Times New Roman"/>
          <w:sz w:val="20"/>
          <w:szCs w:val="20"/>
        </w:rPr>
        <w:t xml:space="preserve">For UEs in RRC connected mode, SRS is configured per BWP based on the existing Rel-15/16/17 specifications. In Rel-18, for UE supporting SRS BW aggregation, gNB can configure the association between the linked carriers for SRS for positioning by RRC signaling. For example, one or more carrier lists for SRS BW aggregation can be configured by RRC signaling, where the linked SRS in different carriers should be transmitted in the same slot and the same symbol with the same numerology for SRS BW aggregation measurement. </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val="0"/>
          <w:sz w:val="20"/>
          <w:szCs w:val="20"/>
        </w:rPr>
      </w:pPr>
      <w:r>
        <w:rPr>
          <w:rFonts w:hint="eastAsia" w:ascii="Times New Roman" w:hAnsi="Times New Roman"/>
          <w:b/>
          <w:bCs/>
          <w:i/>
          <w:iCs w:val="0"/>
          <w:sz w:val="20"/>
          <w:szCs w:val="20"/>
        </w:rPr>
        <w:t xml:space="preserve">Proposal </w:t>
      </w:r>
      <w:r>
        <w:rPr>
          <w:rFonts w:hint="eastAsia" w:ascii="Times New Roman" w:hAnsi="Times New Roman"/>
          <w:b/>
          <w:bCs/>
          <w:i/>
          <w:iCs w:val="0"/>
          <w:sz w:val="20"/>
          <w:szCs w:val="20"/>
          <w:lang w:val="en-US" w:eastAsia="zh-CN"/>
        </w:rPr>
        <w:t>3</w:t>
      </w:r>
      <w:r>
        <w:rPr>
          <w:rFonts w:hint="eastAsia" w:ascii="Times New Roman" w:hAnsi="Times New Roman"/>
          <w:b/>
          <w:bCs/>
          <w:i/>
          <w:iCs w:val="0"/>
          <w:sz w:val="20"/>
          <w:szCs w:val="20"/>
        </w:rPr>
        <w:t>: To enable positioning SRS aggregation</w:t>
      </w:r>
      <w:r>
        <w:rPr>
          <w:rFonts w:ascii="Times New Roman" w:hAnsi="Times New Roman"/>
          <w:b/>
          <w:bCs/>
          <w:i/>
          <w:iCs w:val="0"/>
          <w:sz w:val="20"/>
          <w:szCs w:val="20"/>
        </w:rPr>
        <w:t xml:space="preserve"> on two or three contiguous NUL carriers</w:t>
      </w:r>
      <w:r>
        <w:rPr>
          <w:rFonts w:hint="eastAsia" w:ascii="Times New Roman" w:hAnsi="Times New Roman"/>
          <w:b/>
          <w:bCs/>
          <w:i/>
          <w:iCs w:val="0"/>
          <w:sz w:val="20"/>
          <w:szCs w:val="20"/>
        </w:rPr>
        <w:t xml:space="preserve"> for UE in RRC connected mode, support </w:t>
      </w:r>
      <w:r>
        <w:rPr>
          <w:rFonts w:ascii="Times New Roman" w:hAnsi="Times New Roman"/>
          <w:b/>
          <w:bCs/>
          <w:i/>
          <w:iCs w:val="0"/>
          <w:sz w:val="20"/>
          <w:szCs w:val="20"/>
        </w:rPr>
        <w:t xml:space="preserve">new </w:t>
      </w:r>
      <w:r>
        <w:rPr>
          <w:rFonts w:hint="eastAsia" w:ascii="Times New Roman" w:hAnsi="Times New Roman"/>
          <w:b/>
          <w:bCs/>
          <w:i/>
          <w:iCs w:val="0"/>
          <w:sz w:val="20"/>
          <w:szCs w:val="20"/>
        </w:rPr>
        <w:t>RRC signaling to link</w:t>
      </w:r>
      <w:r>
        <w:rPr>
          <w:rFonts w:ascii="Times New Roman" w:hAnsi="Times New Roman"/>
          <w:b/>
          <w:bCs/>
          <w:i/>
          <w:iCs w:val="0"/>
          <w:sz w:val="20"/>
          <w:szCs w:val="20"/>
        </w:rPr>
        <w:t xml:space="preserve"> the</w:t>
      </w:r>
      <w:r>
        <w:rPr>
          <w:rFonts w:hint="eastAsia" w:ascii="Times New Roman" w:hAnsi="Times New Roman"/>
          <w:b/>
          <w:bCs/>
          <w:i/>
          <w:iCs w:val="0"/>
          <w:sz w:val="20"/>
          <w:szCs w:val="20"/>
        </w:rPr>
        <w:t xml:space="preserve"> two or three </w:t>
      </w:r>
      <w:r>
        <w:rPr>
          <w:rFonts w:ascii="Times New Roman" w:hAnsi="Times New Roman"/>
          <w:b/>
          <w:bCs/>
          <w:i/>
          <w:iCs w:val="0"/>
          <w:sz w:val="20"/>
          <w:szCs w:val="20"/>
        </w:rPr>
        <w:t xml:space="preserve">NUL </w:t>
      </w:r>
      <w:r>
        <w:rPr>
          <w:rFonts w:hint="eastAsia" w:ascii="Times New Roman" w:hAnsi="Times New Roman"/>
          <w:b/>
          <w:bCs/>
          <w:i/>
          <w:iCs w:val="0"/>
          <w:sz w:val="20"/>
          <w:szCs w:val="20"/>
        </w:rPr>
        <w:t>carriers.</w:t>
      </w:r>
    </w:p>
    <w:p>
      <w:pPr>
        <w:pageBreakBefore w:val="0"/>
        <w:kinsoku/>
        <w:wordWrap/>
        <w:topLinePunct w:val="0"/>
        <w:bidi w:val="0"/>
        <w:adjustRightInd w:val="0"/>
        <w:snapToGrid w:val="0"/>
        <w:spacing w:before="157" w:beforeLines="50" w:after="157" w:afterLines="50" w:line="240" w:lineRule="auto"/>
        <w:jc w:val="both"/>
        <w:rPr>
          <w:rFonts w:hint="eastAsia" w:ascii="Times New Roman" w:hAnsi="Times New Roman"/>
          <w:bCs/>
          <w:iCs/>
          <w:sz w:val="20"/>
          <w:szCs w:val="20"/>
        </w:rPr>
      </w:pPr>
      <w:r>
        <w:rPr>
          <w:rFonts w:hint="eastAsia" w:ascii="Times New Roman" w:hAnsi="Times New Roman"/>
          <w:sz w:val="20"/>
          <w:szCs w:val="20"/>
          <w:lang w:val="en-US" w:eastAsia="zh-CN"/>
        </w:rPr>
        <w:t xml:space="preserve">For UEs in RRC inactive mode, </w:t>
      </w:r>
      <w:r>
        <w:rPr>
          <w:rFonts w:hint="eastAsia" w:ascii="Times New Roman" w:hAnsi="Times New Roman"/>
          <w:bCs/>
          <w:iCs/>
          <w:sz w:val="20"/>
          <w:szCs w:val="20"/>
        </w:rPr>
        <w:t xml:space="preserve">In Rel-17, semi-persistent and periodic SRS for positioning are supported for UE in RRC inactive mode. The positioning SRS configured by </w:t>
      </w:r>
      <w:r>
        <w:rPr>
          <w:rFonts w:hint="eastAsia" w:ascii="Times New Roman" w:hAnsi="Times New Roman"/>
          <w:bCs/>
          <w:i/>
          <w:sz w:val="20"/>
          <w:szCs w:val="20"/>
        </w:rPr>
        <w:t xml:space="preserve">RRCRelease </w:t>
      </w:r>
      <w:r>
        <w:rPr>
          <w:rFonts w:hint="eastAsia" w:ascii="Times New Roman" w:hAnsi="Times New Roman"/>
          <w:bCs/>
          <w:iCs/>
          <w:sz w:val="20"/>
          <w:szCs w:val="20"/>
        </w:rPr>
        <w:t>signaling, and the details are shown in following according to 38.331, where SRS configuration for NUL or SUL can be within or outside the initial BWP.</w:t>
      </w:r>
      <w:r>
        <w:rPr>
          <w:rFonts w:hint="eastAsia" w:ascii="Times New Roman" w:hAnsi="Times New Roman"/>
          <w:bCs/>
          <w:iCs/>
          <w:sz w:val="20"/>
          <w:szCs w:val="20"/>
          <w:lang w:val="en-US" w:eastAsia="zh-CN"/>
        </w:rPr>
        <w:t xml:space="preserve"> </w:t>
      </w:r>
      <w:r>
        <w:rPr>
          <w:rFonts w:hint="eastAsia" w:ascii="Times New Roman" w:hAnsi="Times New Roman"/>
          <w:bCs/>
          <w:iCs/>
          <w:sz w:val="20"/>
          <w:szCs w:val="20"/>
        </w:rPr>
        <w:t xml:space="preserve">For Rel-18, to support SRS carrier aggregation, an additional SRS configuration in a serving cell other than the one of initial BWP should be introduced and informed by </w:t>
      </w:r>
      <w:r>
        <w:rPr>
          <w:rFonts w:hint="eastAsia" w:ascii="Times New Roman" w:hAnsi="Times New Roman"/>
          <w:bCs/>
          <w:i/>
          <w:sz w:val="20"/>
          <w:szCs w:val="20"/>
        </w:rPr>
        <w:t xml:space="preserve">RRCRelease </w:t>
      </w:r>
      <w:r>
        <w:rPr>
          <w:rFonts w:hint="eastAsia" w:ascii="Times New Roman" w:hAnsi="Times New Roman"/>
          <w:bCs/>
          <w:iCs/>
          <w:sz w:val="20"/>
          <w:szCs w:val="20"/>
        </w:rPr>
        <w:t xml:space="preserve">signaling. Because </w:t>
      </w:r>
      <w:r>
        <w:rPr>
          <w:rFonts w:ascii="Times New Roman" w:hAnsi="Times New Roman"/>
          <w:bCs/>
          <w:iCs/>
          <w:sz w:val="20"/>
          <w:szCs w:val="20"/>
        </w:rPr>
        <w:t xml:space="preserve">intra-band contiguous </w:t>
      </w:r>
      <w:r>
        <w:rPr>
          <w:rFonts w:hint="eastAsia" w:ascii="Times New Roman" w:hAnsi="Times New Roman"/>
          <w:bCs/>
          <w:iCs/>
          <w:sz w:val="20"/>
          <w:szCs w:val="20"/>
        </w:rPr>
        <w:t>carrier aggregation is only supported among NUL carriers, the newly introduced SRS configuration only for NUL is sufficient.</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val="0"/>
          <w:sz w:val="20"/>
          <w:szCs w:val="20"/>
        </w:rPr>
      </w:pPr>
      <w:r>
        <w:rPr>
          <w:rFonts w:hint="eastAsia" w:ascii="Times New Roman" w:hAnsi="Times New Roman"/>
          <w:b/>
          <w:bCs/>
          <w:i/>
          <w:iCs w:val="0"/>
          <w:sz w:val="20"/>
          <w:szCs w:val="20"/>
        </w:rPr>
        <w:t xml:space="preserve">Proposal </w:t>
      </w:r>
      <w:r>
        <w:rPr>
          <w:rFonts w:hint="eastAsia" w:ascii="Times New Roman" w:hAnsi="Times New Roman"/>
          <w:b/>
          <w:bCs/>
          <w:i/>
          <w:iCs w:val="0"/>
          <w:sz w:val="20"/>
          <w:szCs w:val="20"/>
          <w:lang w:val="en-US" w:eastAsia="zh-CN"/>
        </w:rPr>
        <w:t>4</w:t>
      </w:r>
      <w:r>
        <w:rPr>
          <w:rFonts w:hint="eastAsia" w:ascii="Times New Roman" w:hAnsi="Times New Roman"/>
          <w:b/>
          <w:bCs/>
          <w:i/>
          <w:iCs w:val="0"/>
          <w:sz w:val="20"/>
          <w:szCs w:val="20"/>
        </w:rPr>
        <w:t>: To enable positioning SRS aggregation</w:t>
      </w:r>
      <w:r>
        <w:rPr>
          <w:rFonts w:ascii="Times New Roman" w:hAnsi="Times New Roman"/>
          <w:b/>
          <w:bCs/>
          <w:i/>
          <w:iCs w:val="0"/>
          <w:sz w:val="20"/>
          <w:szCs w:val="20"/>
        </w:rPr>
        <w:t xml:space="preserve"> on two or three contiguous NUL carriers</w:t>
      </w:r>
      <w:r>
        <w:rPr>
          <w:rFonts w:hint="eastAsia" w:ascii="Times New Roman" w:hAnsi="Times New Roman"/>
          <w:b/>
          <w:bCs/>
          <w:i/>
          <w:iCs w:val="0"/>
          <w:sz w:val="20"/>
          <w:szCs w:val="20"/>
        </w:rPr>
        <w:t xml:space="preserve"> for UE in RRC </w:t>
      </w:r>
      <w:r>
        <w:rPr>
          <w:rFonts w:hint="eastAsia" w:ascii="Times New Roman" w:hAnsi="Times New Roman"/>
          <w:b/>
          <w:bCs/>
          <w:i/>
          <w:iCs w:val="0"/>
          <w:sz w:val="20"/>
          <w:szCs w:val="20"/>
          <w:lang w:val="en-US" w:eastAsia="zh-CN"/>
        </w:rPr>
        <w:t>inactive</w:t>
      </w:r>
      <w:r>
        <w:rPr>
          <w:rFonts w:hint="eastAsia" w:ascii="Times New Roman" w:hAnsi="Times New Roman"/>
          <w:b/>
          <w:bCs/>
          <w:i/>
          <w:iCs w:val="0"/>
          <w:sz w:val="20"/>
          <w:szCs w:val="20"/>
        </w:rPr>
        <w:t xml:space="preserve"> mode, </w:t>
      </w:r>
      <w:r>
        <w:rPr>
          <w:rFonts w:hint="eastAsia" w:ascii="Times New Roman" w:hAnsi="Times New Roman"/>
          <w:b/>
          <w:bCs/>
          <w:i/>
          <w:iCs w:val="0"/>
          <w:sz w:val="20"/>
          <w:szCs w:val="20"/>
          <w:lang w:val="en-US" w:eastAsia="zh-CN"/>
        </w:rPr>
        <w:t xml:space="preserve">support to introduce </w:t>
      </w:r>
      <w:r>
        <w:rPr>
          <w:rFonts w:hint="eastAsia" w:ascii="Times New Roman" w:hAnsi="Times New Roman"/>
          <w:b/>
          <w:bCs/>
          <w:i/>
          <w:iCs w:val="0"/>
          <w:sz w:val="20"/>
          <w:szCs w:val="20"/>
        </w:rPr>
        <w:t xml:space="preserve">an additional SRS configuration in a serving cell other than the one of initial BWP </w:t>
      </w:r>
      <w:r>
        <w:rPr>
          <w:rFonts w:hint="eastAsia" w:ascii="Times New Roman" w:hAnsi="Times New Roman"/>
          <w:b/>
          <w:bCs/>
          <w:i/>
          <w:iCs w:val="0"/>
          <w:sz w:val="20"/>
          <w:szCs w:val="20"/>
          <w:lang w:val="en-US" w:eastAsia="zh-CN"/>
        </w:rPr>
        <w:t>in</w:t>
      </w:r>
      <w:r>
        <w:rPr>
          <w:rFonts w:hint="eastAsia" w:ascii="Times New Roman" w:hAnsi="Times New Roman"/>
          <w:b/>
          <w:bCs/>
          <w:i/>
          <w:iCs w:val="0"/>
          <w:sz w:val="20"/>
          <w:szCs w:val="20"/>
        </w:rPr>
        <w:t xml:space="preserve"> RRCRelease signaling.</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val="0"/>
          <w:sz w:val="20"/>
          <w:szCs w:val="20"/>
        </w:rPr>
      </w:pPr>
    </w:p>
    <w:p>
      <w:pPr>
        <w:pStyle w:val="3"/>
        <w:pageBreakBefore w:val="0"/>
        <w:numPr>
          <w:ilvl w:val="1"/>
          <w:numId w:val="5"/>
        </w:numPr>
        <w:kinsoku/>
        <w:wordWrap/>
        <w:topLinePunct w:val="0"/>
        <w:bidi w:val="0"/>
        <w:adjustRightInd w:val="0"/>
        <w:snapToGrid w:val="0"/>
        <w:spacing w:before="157" w:beforeLines="50" w:after="157" w:afterLines="50" w:line="240" w:lineRule="auto"/>
        <w:rPr>
          <w:rFonts w:hint="default" w:ascii="Arial" w:hAnsi="Arial" w:cs="Arial"/>
          <w:lang w:val="en-US" w:eastAsia="zh-CN"/>
        </w:rPr>
      </w:pPr>
      <w:r>
        <w:rPr>
          <w:rFonts w:hint="eastAsia" w:eastAsia="宋体"/>
          <w:sz w:val="24"/>
          <w:szCs w:val="28"/>
          <w:lang w:val="en-US" w:eastAsia="zh-CN"/>
        </w:rPr>
        <w:t xml:space="preserve"> RedCap positioning</w:t>
      </w:r>
      <w:r>
        <w:rPr>
          <w:rFonts w:hint="eastAsia"/>
          <w:sz w:val="22"/>
          <w:szCs w:val="24"/>
          <w:lang w:val="en-US" w:eastAsia="zh-CN"/>
        </w:rPr>
        <w:t xml:space="preserve"> </w:t>
      </w:r>
    </w:p>
    <w:p>
      <w:pPr>
        <w:pageBreakBefore w:val="0"/>
        <w:kinsoku/>
        <w:wordWrap/>
        <w:topLinePunct w:val="0"/>
        <w:bidi w:val="0"/>
        <w:adjustRightInd w:val="0"/>
        <w:snapToGrid w:val="0"/>
        <w:spacing w:before="157" w:beforeLines="50" w:after="157" w:afterLines="50" w:line="240" w:lineRule="auto"/>
        <w:jc w:val="both"/>
        <w:rPr>
          <w:rFonts w:hint="eastAsia" w:ascii="Times New Roman" w:hAnsi="Times New Roman"/>
          <w:bCs/>
          <w:iCs/>
          <w:sz w:val="20"/>
          <w:szCs w:val="20"/>
          <w:lang w:val="en-US" w:eastAsia="zh-CN"/>
        </w:rPr>
      </w:pPr>
      <w:r>
        <w:rPr>
          <w:rFonts w:hint="eastAsia" w:ascii="Times New Roman" w:hAnsi="Times New Roman"/>
          <w:bCs/>
          <w:iCs/>
          <w:sz w:val="20"/>
          <w:szCs w:val="20"/>
          <w:lang w:val="en-US" w:eastAsia="zh-CN"/>
        </w:rPr>
        <w:t>RAN1#111[2] has confirmed to support frequency hopping of positioning RS:</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ageBreakBefore w:val="0"/>
              <w:kinsoku/>
              <w:wordWrap/>
              <w:topLinePunct w:val="0"/>
              <w:bidi w:val="0"/>
              <w:adjustRightInd w:val="0"/>
              <w:snapToGrid w:val="0"/>
              <w:spacing w:before="157" w:beforeLines="50" w:after="157" w:afterLines="50" w:line="240" w:lineRule="auto"/>
              <w:rPr>
                <w:rFonts w:ascii="Times New Roman" w:hAnsi="Times New Roman"/>
                <w:sz w:val="20"/>
                <w:szCs w:val="18"/>
                <w:lang w:eastAsia="zh-CN"/>
              </w:rPr>
            </w:pPr>
            <w:r>
              <w:rPr>
                <w:rFonts w:ascii="Times New Roman" w:hAnsi="Times New Roman"/>
                <w:sz w:val="20"/>
                <w:szCs w:val="18"/>
                <w:highlight w:val="green"/>
                <w:lang w:eastAsia="zh-CN"/>
              </w:rPr>
              <w:t>Agreement</w:t>
            </w:r>
          </w:p>
          <w:p>
            <w:pPr>
              <w:pageBreakBefore w:val="0"/>
              <w:kinsoku/>
              <w:wordWrap/>
              <w:topLinePunct w:val="0"/>
              <w:bidi w:val="0"/>
              <w:adjustRightInd w:val="0"/>
              <w:snapToGrid w:val="0"/>
              <w:spacing w:before="157" w:beforeLines="50" w:after="157" w:afterLines="50" w:line="240" w:lineRule="auto"/>
              <w:rPr>
                <w:rFonts w:ascii="Times New Roman" w:hAnsi="Times New Roman"/>
                <w:sz w:val="20"/>
                <w:szCs w:val="18"/>
                <w:lang w:eastAsia="zh-CN"/>
              </w:rPr>
            </w:pPr>
            <w:r>
              <w:rPr>
                <w:rFonts w:ascii="Times New Roman" w:hAnsi="Times New Roman"/>
                <w:sz w:val="20"/>
                <w:szCs w:val="18"/>
                <w:lang w:eastAsia="zh-CN"/>
              </w:rPr>
              <w:t>Capture the following in the TR conclusions:</w:t>
            </w:r>
          </w:p>
          <w:p>
            <w:pPr>
              <w:pageBreakBefore w:val="0"/>
              <w:numPr>
                <w:ilvl w:val="0"/>
                <w:numId w:val="11"/>
              </w:numPr>
              <w:kinsoku/>
              <w:wordWrap/>
              <w:topLinePunct w:val="0"/>
              <w:bidi w:val="0"/>
              <w:adjustRightInd w:val="0"/>
              <w:snapToGrid w:val="0"/>
              <w:spacing w:before="157" w:beforeLines="50" w:after="157" w:afterLines="50" w:line="240" w:lineRule="auto"/>
              <w:jc w:val="both"/>
              <w:rPr>
                <w:rFonts w:ascii="Times New Roman" w:hAnsi="Times New Roman"/>
                <w:sz w:val="20"/>
                <w:szCs w:val="18"/>
                <w:lang w:val="en-US"/>
              </w:rPr>
            </w:pPr>
            <w:r>
              <w:rPr>
                <w:rFonts w:ascii="Times New Roman" w:hAnsi="Times New Roman"/>
                <w:sz w:val="20"/>
                <w:szCs w:val="18"/>
                <w:lang w:val="en-US"/>
              </w:rPr>
              <w:t>From RAN1 perspective, for positioning of RedCap UEs, support of PRS frequency hopping and SRS frequency hopping is recommended for normative work.</w:t>
            </w:r>
          </w:p>
          <w:p>
            <w:pPr>
              <w:pageBreakBefore w:val="0"/>
              <w:numPr>
                <w:ilvl w:val="1"/>
                <w:numId w:val="11"/>
              </w:numPr>
              <w:kinsoku/>
              <w:wordWrap/>
              <w:topLinePunct w:val="0"/>
              <w:bidi w:val="0"/>
              <w:adjustRightInd w:val="0"/>
              <w:snapToGrid w:val="0"/>
              <w:spacing w:before="157" w:beforeLines="50" w:after="157" w:afterLines="50" w:line="240" w:lineRule="auto"/>
              <w:jc w:val="both"/>
              <w:rPr>
                <w:rFonts w:ascii="Times New Roman" w:hAnsi="Times New Roman"/>
                <w:sz w:val="20"/>
                <w:szCs w:val="18"/>
                <w:lang w:val="en-US"/>
              </w:rPr>
            </w:pPr>
            <w:r>
              <w:rPr>
                <w:rFonts w:ascii="Times New Roman" w:hAnsi="Times New Roman"/>
                <w:sz w:val="20"/>
                <w:szCs w:val="18"/>
                <w:lang w:val="en-US"/>
              </w:rPr>
              <w:t>During the normative phase, the complexity of the corresponding capabilities for RedCap UEs should be addressed for the introduction of appropriate capabilities for RedCap UEs.</w:t>
            </w:r>
          </w:p>
          <w:p>
            <w:pPr>
              <w:pageBreakBefore w:val="0"/>
              <w:kinsoku/>
              <w:wordWrap/>
              <w:topLinePunct w:val="0"/>
              <w:bidi w:val="0"/>
              <w:adjustRightInd w:val="0"/>
              <w:snapToGrid w:val="0"/>
              <w:spacing w:before="157" w:beforeLines="50" w:after="157" w:afterLines="50" w:line="240" w:lineRule="auto"/>
              <w:jc w:val="both"/>
              <w:rPr>
                <w:rFonts w:ascii="Times New Roman" w:hAnsi="Times New Roman"/>
                <w:szCs w:val="20"/>
                <w:lang w:val="en-US"/>
              </w:rPr>
            </w:pPr>
            <w:r>
              <w:rPr>
                <w:rFonts w:ascii="Times New Roman" w:hAnsi="Times New Roman"/>
                <w:szCs w:val="20"/>
                <w:highlight w:val="green"/>
                <w:lang w:val="en-US"/>
              </w:rPr>
              <w:t>Agreement</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Capture the following in section 6.5.3 of the TR:</w:t>
            </w:r>
          </w:p>
          <w:p>
            <w:pPr>
              <w:pageBreakBefore w:val="0"/>
              <w:kinsoku/>
              <w:wordWrap/>
              <w:topLinePunct w:val="0"/>
              <w:bidi w:val="0"/>
              <w:adjustRightInd w:val="0"/>
              <w:snapToGrid w:val="0"/>
              <w:spacing w:before="157" w:beforeLines="50" w:after="157" w:afterLines="50" w:line="240" w:lineRule="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The following has been identified for potential specification impact of NR positioning for RedCap UEs:</w:t>
            </w:r>
          </w:p>
          <w:p>
            <w:pPr>
              <w:pageBreakBefore w:val="0"/>
              <w:widowControl w:val="0"/>
              <w:numPr>
                <w:ilvl w:val="0"/>
                <w:numId w:val="12"/>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cs="Times New Roman"/>
                <w:bCs/>
                <w:sz w:val="20"/>
                <w:szCs w:val="18"/>
              </w:rPr>
            </w:pPr>
            <w:r>
              <w:rPr>
                <w:rFonts w:hint="default" w:ascii="Times New Roman" w:hAnsi="Times New Roman" w:cs="Times New Roman"/>
                <w:bCs/>
                <w:sz w:val="20"/>
                <w:szCs w:val="18"/>
              </w:rPr>
              <w:t>Maximum tolerable phase error, timing gap, and timing error between hops</w:t>
            </w:r>
          </w:p>
          <w:p>
            <w:pPr>
              <w:pageBreakBefore w:val="0"/>
              <w:widowControl w:val="0"/>
              <w:numPr>
                <w:ilvl w:val="1"/>
                <w:numId w:val="12"/>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cs="Times New Roman"/>
                <w:bCs/>
                <w:sz w:val="20"/>
                <w:szCs w:val="18"/>
              </w:rPr>
            </w:pPr>
            <w:r>
              <w:rPr>
                <w:rFonts w:hint="default" w:ascii="Times New Roman" w:hAnsi="Times New Roman" w:cs="Times New Roman"/>
                <w:bCs/>
                <w:sz w:val="20"/>
                <w:szCs w:val="18"/>
              </w:rPr>
              <w:t>Considerations for IIoT, commercial, Public Safety and V2X scenarios, and UE capabilities</w:t>
            </w:r>
          </w:p>
          <w:p>
            <w:pPr>
              <w:pageBreakBefore w:val="0"/>
              <w:widowControl w:val="0"/>
              <w:numPr>
                <w:ilvl w:val="0"/>
                <w:numId w:val="12"/>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cs="Times New Roman"/>
                <w:bCs/>
                <w:sz w:val="20"/>
                <w:szCs w:val="18"/>
              </w:rPr>
            </w:pPr>
            <w:r>
              <w:rPr>
                <w:rFonts w:hint="default" w:ascii="Times New Roman" w:hAnsi="Times New Roman" w:cs="Times New Roman"/>
                <w:bCs/>
                <w:sz w:val="20"/>
                <w:szCs w:val="18"/>
              </w:rPr>
              <w:t>Details on the Tx or Rx hopping pattern(s), including frequency overlapping between hops, if supported.</w:t>
            </w:r>
          </w:p>
          <w:p>
            <w:pPr>
              <w:pageBreakBefore w:val="0"/>
              <w:kinsoku/>
              <w:wordWrap/>
              <w:topLinePunct w:val="0"/>
              <w:bidi w:val="0"/>
              <w:adjustRightInd w:val="0"/>
              <w:snapToGrid w:val="0"/>
              <w:spacing w:before="157" w:beforeLines="50" w:after="157" w:afterLines="50" w:line="240" w:lineRule="auto"/>
              <w:rPr>
                <w:rFonts w:hint="default"/>
                <w:sz w:val="22"/>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jc w:val="both"/>
        <w:textAlignment w:val="auto"/>
        <w:rPr>
          <w:rFonts w:hint="default" w:ascii="Times New Roman" w:hAnsi="Times New Roman"/>
          <w:sz w:val="20"/>
          <w:szCs w:val="20"/>
          <w:lang w:val="en-US" w:eastAsia="zh-CN"/>
        </w:rPr>
      </w:pPr>
      <w:r>
        <w:rPr>
          <w:rFonts w:hint="eastAsia" w:ascii="Times New Roman" w:hAnsi="Times New Roman"/>
          <w:sz w:val="20"/>
          <w:szCs w:val="20"/>
          <w:lang w:val="en-US" w:eastAsia="zh-CN"/>
        </w:rPr>
        <w:t>There are several candidate solutions of reference signal resource hopping, as listed as follows:</w:t>
      </w:r>
    </w:p>
    <w:p>
      <w:pPr>
        <w:keepNext w:val="0"/>
        <w:keepLines w:val="0"/>
        <w:pageBreakBefore w:val="0"/>
        <w:widowControl w:val="0"/>
        <w:numPr>
          <w:ilvl w:val="0"/>
          <w:numId w:val="13"/>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Frequency h</w:t>
      </w:r>
      <w:r>
        <w:rPr>
          <w:rFonts w:hint="default" w:ascii="Times New Roman" w:hAnsi="Times New Roman" w:cs="Times New Roman"/>
          <w:sz w:val="20"/>
          <w:szCs w:val="20"/>
          <w:lang w:val="en-US" w:eastAsia="zh-CN"/>
        </w:rPr>
        <w:t>opping within one resource</w:t>
      </w:r>
    </w:p>
    <w:p>
      <w:pPr>
        <w:keepNext w:val="0"/>
        <w:keepLines w:val="0"/>
        <w:pageBreakBefore w:val="0"/>
        <w:widowControl w:val="0"/>
        <w:numPr>
          <w:ilvl w:val="0"/>
          <w:numId w:val="14"/>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way, t</w:t>
      </w:r>
      <w:r>
        <w:rPr>
          <w:rFonts w:hint="default" w:ascii="Times New Roman" w:hAnsi="Times New Roman" w:cs="Times New Roman"/>
          <w:sz w:val="20"/>
          <w:szCs w:val="20"/>
          <w:lang w:val="en-US" w:eastAsia="zh-CN"/>
        </w:rPr>
        <w:t xml:space="preserve">he frequency </w:t>
      </w:r>
      <w:r>
        <w:rPr>
          <w:rFonts w:hint="eastAsia" w:ascii="Times New Roman" w:hAnsi="Times New Roman" w:cs="Times New Roman"/>
          <w:sz w:val="20"/>
          <w:szCs w:val="20"/>
          <w:lang w:val="en-US" w:eastAsia="zh-CN"/>
        </w:rPr>
        <w:t xml:space="preserve">domain </w:t>
      </w:r>
      <w:r>
        <w:rPr>
          <w:rFonts w:hint="default" w:ascii="Times New Roman" w:hAnsi="Times New Roman" w:cs="Times New Roman"/>
          <w:sz w:val="20"/>
          <w:szCs w:val="20"/>
          <w:lang w:val="en-US" w:eastAsia="zh-CN"/>
        </w:rPr>
        <w:t>resource of one reference signal is d</w:t>
      </w:r>
      <w:r>
        <w:rPr>
          <w:rFonts w:hint="eastAsia" w:ascii="Times New Roman" w:hAnsi="Times New Roman" w:cs="Times New Roman"/>
          <w:sz w:val="20"/>
          <w:szCs w:val="20"/>
          <w:lang w:val="en-US" w:eastAsia="zh-CN"/>
        </w:rPr>
        <w:t>ivided</w:t>
      </w:r>
      <w:r>
        <w:rPr>
          <w:rFonts w:hint="default" w:ascii="Times New Roman" w:hAnsi="Times New Roman" w:cs="Times New Roman"/>
          <w:sz w:val="20"/>
          <w:szCs w:val="20"/>
          <w:lang w:val="en-US" w:eastAsia="zh-CN"/>
        </w:rPr>
        <w:t xml:space="preserve"> into several parts, </w:t>
      </w:r>
      <w:r>
        <w:rPr>
          <w:rFonts w:hint="eastAsia" w:ascii="Times New Roman" w:hAnsi="Times New Roman" w:cs="Times New Roman"/>
          <w:sz w:val="20"/>
          <w:szCs w:val="20"/>
          <w:lang w:val="en-US" w:eastAsia="zh-CN"/>
        </w:rPr>
        <w:t>each part corresponds to a frequency hop, and several hops are shown in different symbols. In other words, the three hopping parts refer to different symbols of one RS resource.</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420" w:leftChars="0"/>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3122295" cy="1979930"/>
            <wp:effectExtent l="0" t="0" r="0" b="0"/>
            <wp:docPr id="1" name="图片 1" descr="hopp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opping 1"/>
                    <pic:cNvPicPr>
                      <a:picLocks noChangeAspect="1"/>
                    </pic:cNvPicPr>
                  </pic:nvPicPr>
                  <pic:blipFill>
                    <a:blip r:embed="rId9"/>
                    <a:stretch>
                      <a:fillRect/>
                    </a:stretch>
                  </pic:blipFill>
                  <pic:spPr>
                    <a:xfrm>
                      <a:off x="0" y="0"/>
                      <a:ext cx="3122295" cy="197993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420" w:leftChars="0"/>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1. Example of frequency hopping within one resource</w:t>
      </w:r>
    </w:p>
    <w:p>
      <w:pPr>
        <w:keepNext w:val="0"/>
        <w:keepLines w:val="0"/>
        <w:pageBreakBefore w:val="0"/>
        <w:widowControl w:val="0"/>
        <w:numPr>
          <w:ilvl w:val="0"/>
          <w:numId w:val="13"/>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Frequency hopping within one resource set</w:t>
      </w:r>
    </w:p>
    <w:p>
      <w:pPr>
        <w:keepNext w:val="0"/>
        <w:keepLines w:val="0"/>
        <w:pageBreakBefore w:val="0"/>
        <w:widowControl w:val="0"/>
        <w:numPr>
          <w:ilvl w:val="0"/>
          <w:numId w:val="15"/>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way, assuming that one reference signal resource set contains several reference signal resources, then different reference signal resources in the resource set may have different frequency range and correspond to different hops.</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420" w:leftChars="0"/>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4414520" cy="2016125"/>
            <wp:effectExtent l="0" t="0" r="0" b="0"/>
            <wp:docPr id="2" name="图片 2" descr="hopp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opping 2"/>
                    <pic:cNvPicPr>
                      <a:picLocks noChangeAspect="1"/>
                    </pic:cNvPicPr>
                  </pic:nvPicPr>
                  <pic:blipFill>
                    <a:blip r:embed="rId10"/>
                    <a:stretch>
                      <a:fillRect/>
                    </a:stretch>
                  </pic:blipFill>
                  <pic:spPr>
                    <a:xfrm>
                      <a:off x="0" y="0"/>
                      <a:ext cx="4414520" cy="20161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2. Example of frequency hopping within one resource set</w:t>
      </w:r>
    </w:p>
    <w:p>
      <w:pPr>
        <w:keepNext w:val="0"/>
        <w:keepLines w:val="0"/>
        <w:pageBreakBefore w:val="0"/>
        <w:widowControl w:val="0"/>
        <w:numPr>
          <w:ilvl w:val="0"/>
          <w:numId w:val="13"/>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Frequency hopping between different CCs/BWPs/PFLs/resource sets</w:t>
      </w:r>
      <w:r>
        <w:rPr>
          <w:rFonts w:hint="default" w:ascii="Times New Roman" w:hAnsi="Times New Roman" w:cs="Times New Roman"/>
          <w:sz w:val="20"/>
          <w:szCs w:val="20"/>
          <w:lang w:val="en-US" w:eastAsia="zh-CN"/>
        </w:rPr>
        <w:t xml:space="preserve"> </w:t>
      </w:r>
    </w:p>
    <w:p>
      <w:pPr>
        <w:keepNext w:val="0"/>
        <w:keepLines w:val="0"/>
        <w:pageBreakBefore w:val="0"/>
        <w:widowControl w:val="0"/>
        <w:numPr>
          <w:ilvl w:val="0"/>
          <w:numId w:val="16"/>
        </w:numPr>
        <w:kinsoku/>
        <w:wordWrap/>
        <w:overflowPunct/>
        <w:topLinePunct w:val="0"/>
        <w:autoSpaceDE/>
        <w:autoSpaceDN/>
        <w:bidi w:val="0"/>
        <w:adjustRightInd w:val="0"/>
        <w:snapToGrid w:val="0"/>
        <w:spacing w:before="157" w:beforeLines="50" w:after="157" w:afterLines="50" w:line="240" w:lineRule="auto"/>
        <w:ind w:left="840" w:leftChars="0" w:hanging="420" w:firstLineChars="0"/>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way, the several reference signal resources belonging to different CCs/BWPs/PFLs/resource sets can be associated to compose frequency hopping. One example is, different reference signal resources with the same ID in different CCs/BWPs/PFLs/resource sets correspond to different hops.</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420" w:leftChars="0"/>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drawing>
          <wp:inline distT="0" distB="0" distL="114300" distR="114300">
            <wp:extent cx="2091690" cy="2016125"/>
            <wp:effectExtent l="0" t="0" r="3810" b="0"/>
            <wp:docPr id="3" name="图片 3" descr="hopp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opping 3"/>
                    <pic:cNvPicPr>
                      <a:picLocks noChangeAspect="1"/>
                    </pic:cNvPicPr>
                  </pic:nvPicPr>
                  <pic:blipFill>
                    <a:blip r:embed="rId11"/>
                    <a:stretch>
                      <a:fillRect/>
                    </a:stretch>
                  </pic:blipFill>
                  <pic:spPr>
                    <a:xfrm>
                      <a:off x="0" y="0"/>
                      <a:ext cx="2091690" cy="2016125"/>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Figure 3. Example of frequency hopping between different CCs</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For RedCap UE, support RAN2 to consider the following candidate solutions of RS resource frequency hopping:</w:t>
      </w:r>
    </w:p>
    <w:p>
      <w:pPr>
        <w:keepNext w:val="0"/>
        <w:keepLines w:val="0"/>
        <w:pageBreakBefore w:val="0"/>
        <w:widowControl w:val="0"/>
        <w:numPr>
          <w:ilvl w:val="0"/>
          <w:numId w:val="13"/>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w:t>
      </w:r>
      <w:r>
        <w:rPr>
          <w:rFonts w:hint="default" w:ascii="Times New Roman" w:hAnsi="Times New Roman" w:cs="Times New Roman"/>
          <w:b/>
          <w:bCs/>
          <w:i/>
          <w:iCs/>
          <w:sz w:val="20"/>
          <w:szCs w:val="20"/>
          <w:lang w:val="en-US" w:eastAsia="zh-CN"/>
        </w:rPr>
        <w:t>opping within one resource</w:t>
      </w:r>
    </w:p>
    <w:p>
      <w:pPr>
        <w:keepNext w:val="0"/>
        <w:keepLines w:val="0"/>
        <w:pageBreakBefore w:val="0"/>
        <w:widowControl w:val="0"/>
        <w:numPr>
          <w:ilvl w:val="0"/>
          <w:numId w:val="13"/>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hopping within one resource set</w:t>
      </w:r>
    </w:p>
    <w:p>
      <w:pPr>
        <w:keepNext w:val="0"/>
        <w:keepLines w:val="0"/>
        <w:pageBreakBefore w:val="0"/>
        <w:widowControl w:val="0"/>
        <w:numPr>
          <w:ilvl w:val="0"/>
          <w:numId w:val="13"/>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b/>
          <w:bCs/>
          <w:i/>
          <w:iCs/>
          <w:sz w:val="20"/>
          <w:szCs w:val="20"/>
          <w:lang w:val="en-US" w:eastAsia="zh-CN"/>
        </w:rPr>
      </w:pPr>
      <w:r>
        <w:rPr>
          <w:rFonts w:hint="eastAsia" w:ascii="Times New Roman" w:hAnsi="Times New Roman" w:cs="Times New Roman"/>
          <w:b/>
          <w:bCs/>
          <w:i/>
          <w:iCs/>
          <w:sz w:val="20"/>
          <w:szCs w:val="20"/>
          <w:lang w:val="en-US" w:eastAsia="zh-CN"/>
        </w:rPr>
        <w:t>Frequency hopping between different CCs/BWPs/PFLs/resource sets</w:t>
      </w:r>
      <w:r>
        <w:rPr>
          <w:rFonts w:hint="default" w:ascii="Times New Roman" w:hAnsi="Times New Roman" w:cs="Times New Roman"/>
          <w:b/>
          <w:bCs/>
          <w:i/>
          <w:iCs/>
          <w:sz w:val="20"/>
          <w:szCs w:val="2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rPr>
          <w:rFonts w:hint="default" w:ascii="Times New Roman" w:hAnsi="Times New Roman"/>
          <w:b/>
          <w:bCs/>
          <w:i/>
          <w:iCs/>
          <w:sz w:val="20"/>
          <w:szCs w:val="20"/>
          <w:lang w:val="en-US" w:eastAsia="zh-CN"/>
        </w:rPr>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pageBreakBefore w:val="0"/>
        <w:widowControl/>
        <w:numPr>
          <w:ilvl w:val="0"/>
          <w:numId w:val="0"/>
        </w:numPr>
        <w:kinsoku/>
        <w:wordWrap/>
        <w:topLinePunct w:val="0"/>
        <w:autoSpaceDE w:val="0"/>
        <w:autoSpaceDN w:val="0"/>
        <w:bidi w:val="0"/>
        <w:adjustRightInd w:val="0"/>
        <w:snapToGrid w:val="0"/>
        <w:spacing w:before="157" w:beforeLines="50" w:after="157" w:afterLines="50" w:line="240" w:lineRule="auto"/>
        <w:rPr>
          <w:rFonts w:hint="default" w:ascii="Times New Roman" w:hAnsi="Times New Roman"/>
          <w:b w:val="0"/>
          <w:bCs w:val="0"/>
          <w:i w:val="0"/>
          <w:iCs w:val="0"/>
          <w:sz w:val="20"/>
          <w:szCs w:val="20"/>
          <w:lang w:val="en-US" w:eastAsia="zh-CN"/>
        </w:rPr>
      </w:pPr>
      <w:r>
        <w:rPr>
          <w:rFonts w:hint="eastAsia" w:ascii="Times New Roman" w:hAnsi="Times New Roman"/>
          <w:b w:val="0"/>
          <w:bCs w:val="0"/>
          <w:i w:val="0"/>
          <w:iCs w:val="0"/>
          <w:sz w:val="20"/>
          <w:szCs w:val="20"/>
          <w:lang w:val="en-US" w:eastAsia="zh-CN"/>
        </w:rPr>
        <w:t>In this section we provide the following proposals:</w:t>
      </w:r>
    </w:p>
    <w:p>
      <w:pPr>
        <w:pageBreakBefore w:val="0"/>
        <w:kinsoku/>
        <w:wordWrap/>
        <w:topLinePunct w:val="0"/>
        <w:bidi w:val="0"/>
        <w:adjustRightInd w:val="0"/>
        <w:snapToGrid w:val="0"/>
        <w:spacing w:before="157" w:beforeLines="50" w:after="157" w:afterLines="50" w:line="240" w:lineRule="auto"/>
        <w:rPr>
          <w:b/>
          <w:bCs/>
          <w:i/>
          <w:iCs w:val="0"/>
          <w:lang w:val="en-US" w:eastAsia="zh-CN"/>
        </w:rPr>
      </w:pPr>
      <w:r>
        <w:rPr>
          <w:rFonts w:hint="eastAsia" w:ascii="Times New Roman" w:hAnsi="Times New Roman"/>
          <w:b/>
          <w:bCs/>
          <w:i/>
          <w:iCs w:val="0"/>
          <w:sz w:val="20"/>
          <w:szCs w:val="20"/>
        </w:rPr>
        <w:t>Proposal 1: Support new LPP signaling to link two or three PFLs for PRS bandwidth aggregation.</w:t>
      </w:r>
    </w:p>
    <w:p>
      <w:pPr>
        <w:pageBreakBefore w:val="0"/>
        <w:kinsoku/>
        <w:wordWrap/>
        <w:topLinePunct w:val="0"/>
        <w:bidi w:val="0"/>
        <w:adjustRightInd w:val="0"/>
        <w:snapToGrid w:val="0"/>
        <w:spacing w:before="157" w:beforeLines="50" w:after="157" w:afterLines="50" w:line="240" w:lineRule="auto"/>
        <w:jc w:val="both"/>
        <w:rPr>
          <w:rFonts w:ascii="Times New Roman" w:hAnsi="Times New Roman"/>
          <w:b/>
          <w:bCs/>
          <w:i/>
          <w:iCs/>
          <w:sz w:val="20"/>
          <w:szCs w:val="20"/>
        </w:rPr>
      </w:pPr>
      <w:r>
        <w:rPr>
          <w:rFonts w:hint="eastAsia" w:ascii="Times New Roman" w:hAnsi="Times New Roman"/>
          <w:b/>
          <w:bCs/>
          <w:i/>
          <w:iCs/>
          <w:sz w:val="20"/>
          <w:szCs w:val="20"/>
        </w:rPr>
        <w:t>Proposal 2: For DL-TDOA and multi-RTT</w:t>
      </w:r>
      <w:r>
        <w:rPr>
          <w:rFonts w:ascii="Times New Roman" w:hAnsi="Times New Roman"/>
          <w:b/>
          <w:bCs/>
          <w:i/>
          <w:iCs/>
          <w:sz w:val="20"/>
          <w:szCs w:val="20"/>
        </w:rPr>
        <w:t xml:space="preserve"> measurement report</w:t>
      </w:r>
      <w:r>
        <w:rPr>
          <w:rFonts w:hint="eastAsia" w:ascii="Times New Roman" w:hAnsi="Times New Roman"/>
          <w:b/>
          <w:bCs/>
          <w:i/>
          <w:iCs/>
          <w:sz w:val="20"/>
          <w:szCs w:val="20"/>
        </w:rPr>
        <w:t>, when UE is configured with BW aggregated PRS via LPP assistance data, select one of the following two options:</w:t>
      </w:r>
    </w:p>
    <w:p>
      <w:pPr>
        <w:pageBreakBefore w:val="0"/>
        <w:numPr>
          <w:ilvl w:val="0"/>
          <w:numId w:val="10"/>
        </w:numPr>
        <w:kinsoku/>
        <w:wordWrap/>
        <w:topLinePunct w:val="0"/>
        <w:bidi w:val="0"/>
        <w:adjustRightInd w:val="0"/>
        <w:snapToGrid w:val="0"/>
        <w:spacing w:before="157" w:beforeLines="50" w:after="157" w:afterLines="50" w:line="240" w:lineRule="auto"/>
        <w:jc w:val="both"/>
        <w:rPr>
          <w:rFonts w:ascii="Times New Roman" w:hAnsi="Times New Roman"/>
          <w:b/>
          <w:bCs/>
          <w:i/>
          <w:sz w:val="20"/>
          <w:szCs w:val="20"/>
        </w:rPr>
      </w:pPr>
      <w:r>
        <w:rPr>
          <w:rFonts w:hint="eastAsia" w:ascii="Times New Roman" w:hAnsi="Times New Roman"/>
          <w:b/>
          <w:bCs/>
          <w:i/>
          <w:sz w:val="20"/>
          <w:szCs w:val="20"/>
        </w:rPr>
        <w:t>Option 1: UE always measures</w:t>
      </w:r>
      <w:r>
        <w:rPr>
          <w:rFonts w:hint="eastAsia" w:ascii="Times New Roman" w:hAnsi="Times New Roman"/>
          <w:b/>
          <w:bCs/>
          <w:i/>
          <w:sz w:val="20"/>
          <w:szCs w:val="20"/>
          <w:lang w:val="en-US" w:eastAsia="zh-CN"/>
        </w:rPr>
        <w:t xml:space="preserve"> and reports</w:t>
      </w:r>
      <w:r>
        <w:rPr>
          <w:rFonts w:hint="eastAsia" w:ascii="Times New Roman" w:hAnsi="Times New Roman"/>
          <w:b/>
          <w:bCs/>
          <w:i/>
          <w:sz w:val="20"/>
          <w:szCs w:val="20"/>
        </w:rPr>
        <w:t xml:space="preserve"> the RSTD or UE Rx-Tx time difference based on the aggregated PFL. </w:t>
      </w:r>
    </w:p>
    <w:p>
      <w:pPr>
        <w:pageBreakBefore w:val="0"/>
        <w:numPr>
          <w:ilvl w:val="0"/>
          <w:numId w:val="10"/>
        </w:numPr>
        <w:kinsoku/>
        <w:wordWrap/>
        <w:topLinePunct w:val="0"/>
        <w:bidi w:val="0"/>
        <w:adjustRightInd w:val="0"/>
        <w:snapToGrid w:val="0"/>
        <w:spacing w:before="157" w:beforeLines="50" w:after="157" w:afterLines="50" w:line="240" w:lineRule="auto"/>
        <w:jc w:val="both"/>
        <w:rPr>
          <w:b/>
          <w:bCs/>
          <w:lang w:val="en-US" w:eastAsia="zh-CN"/>
        </w:rPr>
      </w:pPr>
      <w:r>
        <w:rPr>
          <w:rFonts w:hint="eastAsia" w:ascii="Times New Roman" w:hAnsi="Times New Roman"/>
          <w:b/>
          <w:bCs/>
          <w:i/>
          <w:sz w:val="20"/>
          <w:szCs w:val="20"/>
        </w:rPr>
        <w:t>Option 2: UE has flexibility to</w:t>
      </w:r>
      <w:r>
        <w:rPr>
          <w:rFonts w:hint="eastAsia" w:ascii="Times New Roman" w:hAnsi="Times New Roman"/>
          <w:b/>
          <w:bCs/>
          <w:i/>
          <w:sz w:val="20"/>
          <w:szCs w:val="20"/>
          <w:lang w:val="en-US" w:eastAsia="zh-CN"/>
        </w:rPr>
        <w:t xml:space="preserve"> measure and</w:t>
      </w:r>
      <w:r>
        <w:rPr>
          <w:rFonts w:hint="eastAsia" w:ascii="Times New Roman" w:hAnsi="Times New Roman"/>
          <w:b/>
          <w:bCs/>
          <w:i/>
          <w:sz w:val="20"/>
          <w:szCs w:val="20"/>
        </w:rPr>
        <w:t xml:space="preserve"> report RSTD or UE Rx-Tx time difference based on either single PFL or aggregated PFL</w:t>
      </w:r>
      <w:r>
        <w:rPr>
          <w:rFonts w:hint="eastAsia" w:ascii="Times New Roman" w:hAnsi="Times New Roman"/>
          <w:b/>
          <w:bCs/>
          <w:i/>
          <w:sz w:val="20"/>
          <w:szCs w:val="20"/>
          <w:lang w:val="en-US" w:eastAsia="zh-CN"/>
        </w:rPr>
        <w:t>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val="0"/>
          <w:sz w:val="20"/>
          <w:szCs w:val="20"/>
        </w:rPr>
      </w:pPr>
      <w:r>
        <w:rPr>
          <w:rFonts w:hint="eastAsia" w:ascii="Times New Roman" w:hAnsi="Times New Roman"/>
          <w:b/>
          <w:bCs/>
          <w:i/>
          <w:iCs w:val="0"/>
          <w:sz w:val="20"/>
          <w:szCs w:val="20"/>
        </w:rPr>
        <w:t xml:space="preserve">Proposal </w:t>
      </w:r>
      <w:r>
        <w:rPr>
          <w:rFonts w:hint="eastAsia" w:ascii="Times New Roman" w:hAnsi="Times New Roman"/>
          <w:b/>
          <w:bCs/>
          <w:i/>
          <w:iCs w:val="0"/>
          <w:sz w:val="20"/>
          <w:szCs w:val="20"/>
          <w:lang w:val="en-US" w:eastAsia="zh-CN"/>
        </w:rPr>
        <w:t>3</w:t>
      </w:r>
      <w:r>
        <w:rPr>
          <w:rFonts w:hint="eastAsia" w:ascii="Times New Roman" w:hAnsi="Times New Roman"/>
          <w:b/>
          <w:bCs/>
          <w:i/>
          <w:iCs w:val="0"/>
          <w:sz w:val="20"/>
          <w:szCs w:val="20"/>
        </w:rPr>
        <w:t>: To enable positioning SRS aggregation</w:t>
      </w:r>
      <w:r>
        <w:rPr>
          <w:rFonts w:ascii="Times New Roman" w:hAnsi="Times New Roman"/>
          <w:b/>
          <w:bCs/>
          <w:i/>
          <w:iCs w:val="0"/>
          <w:sz w:val="20"/>
          <w:szCs w:val="20"/>
        </w:rPr>
        <w:t xml:space="preserve"> on two or three contiguous NUL carriers</w:t>
      </w:r>
      <w:r>
        <w:rPr>
          <w:rFonts w:hint="eastAsia" w:ascii="Times New Roman" w:hAnsi="Times New Roman"/>
          <w:b/>
          <w:bCs/>
          <w:i/>
          <w:iCs w:val="0"/>
          <w:sz w:val="20"/>
          <w:szCs w:val="20"/>
        </w:rPr>
        <w:t xml:space="preserve"> for UE in RRC connected mode, support </w:t>
      </w:r>
      <w:r>
        <w:rPr>
          <w:rFonts w:ascii="Times New Roman" w:hAnsi="Times New Roman"/>
          <w:b/>
          <w:bCs/>
          <w:i/>
          <w:iCs w:val="0"/>
          <w:sz w:val="20"/>
          <w:szCs w:val="20"/>
        </w:rPr>
        <w:t xml:space="preserve">new </w:t>
      </w:r>
      <w:r>
        <w:rPr>
          <w:rFonts w:hint="eastAsia" w:ascii="Times New Roman" w:hAnsi="Times New Roman"/>
          <w:b/>
          <w:bCs/>
          <w:i/>
          <w:iCs w:val="0"/>
          <w:sz w:val="20"/>
          <w:szCs w:val="20"/>
        </w:rPr>
        <w:t>RRC signaling to link</w:t>
      </w:r>
      <w:r>
        <w:rPr>
          <w:rFonts w:ascii="Times New Roman" w:hAnsi="Times New Roman"/>
          <w:b/>
          <w:bCs/>
          <w:i/>
          <w:iCs w:val="0"/>
          <w:sz w:val="20"/>
          <w:szCs w:val="20"/>
        </w:rPr>
        <w:t xml:space="preserve"> the</w:t>
      </w:r>
      <w:r>
        <w:rPr>
          <w:rFonts w:hint="eastAsia" w:ascii="Times New Roman" w:hAnsi="Times New Roman"/>
          <w:b/>
          <w:bCs/>
          <w:i/>
          <w:iCs w:val="0"/>
          <w:sz w:val="20"/>
          <w:szCs w:val="20"/>
        </w:rPr>
        <w:t xml:space="preserve"> two or three </w:t>
      </w:r>
      <w:r>
        <w:rPr>
          <w:rFonts w:ascii="Times New Roman" w:hAnsi="Times New Roman"/>
          <w:b/>
          <w:bCs/>
          <w:i/>
          <w:iCs w:val="0"/>
          <w:sz w:val="20"/>
          <w:szCs w:val="20"/>
        </w:rPr>
        <w:t xml:space="preserve">NUL </w:t>
      </w:r>
      <w:r>
        <w:rPr>
          <w:rFonts w:hint="eastAsia" w:ascii="Times New Roman" w:hAnsi="Times New Roman"/>
          <w:b/>
          <w:bCs/>
          <w:i/>
          <w:iCs w:val="0"/>
          <w:sz w:val="20"/>
          <w:szCs w:val="20"/>
        </w:rPr>
        <w:t>carriers.</w:t>
      </w:r>
    </w:p>
    <w:p>
      <w:pPr>
        <w:pageBreakBefore w:val="0"/>
        <w:widowControl/>
        <w:kinsoku/>
        <w:wordWrap/>
        <w:topLinePunct w:val="0"/>
        <w:autoSpaceDE w:val="0"/>
        <w:autoSpaceDN w:val="0"/>
        <w:bidi w:val="0"/>
        <w:adjustRightInd w:val="0"/>
        <w:snapToGrid w:val="0"/>
        <w:spacing w:before="157" w:beforeLines="50" w:after="157" w:afterLines="50" w:line="240" w:lineRule="auto"/>
        <w:rPr>
          <w:rFonts w:hint="eastAsia" w:ascii="Times New Roman" w:hAnsi="Times New Roman"/>
          <w:b/>
          <w:bCs/>
          <w:i/>
          <w:iCs w:val="0"/>
          <w:sz w:val="20"/>
          <w:szCs w:val="20"/>
        </w:rPr>
      </w:pPr>
      <w:r>
        <w:rPr>
          <w:rFonts w:hint="eastAsia" w:ascii="Times New Roman" w:hAnsi="Times New Roman"/>
          <w:b/>
          <w:bCs/>
          <w:i/>
          <w:iCs w:val="0"/>
          <w:sz w:val="20"/>
          <w:szCs w:val="20"/>
        </w:rPr>
        <w:t xml:space="preserve">Proposal </w:t>
      </w:r>
      <w:r>
        <w:rPr>
          <w:rFonts w:hint="eastAsia" w:ascii="Times New Roman" w:hAnsi="Times New Roman"/>
          <w:b/>
          <w:bCs/>
          <w:i/>
          <w:iCs w:val="0"/>
          <w:sz w:val="20"/>
          <w:szCs w:val="20"/>
          <w:lang w:val="en-US" w:eastAsia="zh-CN"/>
        </w:rPr>
        <w:t>4</w:t>
      </w:r>
      <w:r>
        <w:rPr>
          <w:rFonts w:hint="eastAsia" w:ascii="Times New Roman" w:hAnsi="Times New Roman"/>
          <w:b/>
          <w:bCs/>
          <w:i/>
          <w:iCs w:val="0"/>
          <w:sz w:val="20"/>
          <w:szCs w:val="20"/>
        </w:rPr>
        <w:t>: To enable positioning SRS aggregation</w:t>
      </w:r>
      <w:r>
        <w:rPr>
          <w:rFonts w:ascii="Times New Roman" w:hAnsi="Times New Roman"/>
          <w:b/>
          <w:bCs/>
          <w:i/>
          <w:iCs w:val="0"/>
          <w:sz w:val="20"/>
          <w:szCs w:val="20"/>
        </w:rPr>
        <w:t xml:space="preserve"> on two or three contiguous NUL carriers</w:t>
      </w:r>
      <w:r>
        <w:rPr>
          <w:rFonts w:hint="eastAsia" w:ascii="Times New Roman" w:hAnsi="Times New Roman"/>
          <w:b/>
          <w:bCs/>
          <w:i/>
          <w:iCs w:val="0"/>
          <w:sz w:val="20"/>
          <w:szCs w:val="20"/>
        </w:rPr>
        <w:t xml:space="preserve"> for UE in RRC </w:t>
      </w:r>
      <w:r>
        <w:rPr>
          <w:rFonts w:hint="eastAsia" w:ascii="Times New Roman" w:hAnsi="Times New Roman"/>
          <w:b/>
          <w:bCs/>
          <w:i/>
          <w:iCs w:val="0"/>
          <w:sz w:val="20"/>
          <w:szCs w:val="20"/>
          <w:lang w:val="en-US" w:eastAsia="zh-CN"/>
        </w:rPr>
        <w:t>inactive</w:t>
      </w:r>
      <w:r>
        <w:rPr>
          <w:rFonts w:hint="eastAsia" w:ascii="Times New Roman" w:hAnsi="Times New Roman"/>
          <w:b/>
          <w:bCs/>
          <w:i/>
          <w:iCs w:val="0"/>
          <w:sz w:val="20"/>
          <w:szCs w:val="20"/>
        </w:rPr>
        <w:t xml:space="preserve"> mode, </w:t>
      </w:r>
      <w:r>
        <w:rPr>
          <w:rFonts w:hint="eastAsia" w:ascii="Times New Roman" w:hAnsi="Times New Roman"/>
          <w:b/>
          <w:bCs/>
          <w:i/>
          <w:iCs w:val="0"/>
          <w:sz w:val="20"/>
          <w:szCs w:val="20"/>
          <w:lang w:val="en-US" w:eastAsia="zh-CN"/>
        </w:rPr>
        <w:t xml:space="preserve">support to introduce </w:t>
      </w:r>
      <w:r>
        <w:rPr>
          <w:rFonts w:hint="eastAsia" w:ascii="Times New Roman" w:hAnsi="Times New Roman"/>
          <w:b/>
          <w:bCs/>
          <w:i/>
          <w:iCs w:val="0"/>
          <w:sz w:val="20"/>
          <w:szCs w:val="20"/>
        </w:rPr>
        <w:t xml:space="preserve">an additional SRS configuration in a serving cell other than the one of initial BWP </w:t>
      </w:r>
      <w:r>
        <w:rPr>
          <w:rFonts w:hint="eastAsia" w:ascii="Times New Roman" w:hAnsi="Times New Roman"/>
          <w:b/>
          <w:bCs/>
          <w:i/>
          <w:iCs w:val="0"/>
          <w:sz w:val="20"/>
          <w:szCs w:val="20"/>
          <w:lang w:val="en-US" w:eastAsia="zh-CN"/>
        </w:rPr>
        <w:t>in</w:t>
      </w:r>
      <w:r>
        <w:rPr>
          <w:rFonts w:hint="eastAsia" w:ascii="Times New Roman" w:hAnsi="Times New Roman"/>
          <w:b/>
          <w:bCs/>
          <w:i/>
          <w:iCs w:val="0"/>
          <w:sz w:val="20"/>
          <w:szCs w:val="20"/>
        </w:rPr>
        <w:t xml:space="preserve"> RRCRelease signaling.</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jc w:val="both"/>
        <w:textAlignment w:val="auto"/>
        <w:rPr>
          <w:rFonts w:hint="eastAsia"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Proposal 5: For RedCap UE, support RAN2 to consider the following candidate solutions of RS resource frequency hopping:</w:t>
      </w:r>
    </w:p>
    <w:p>
      <w:pPr>
        <w:keepNext w:val="0"/>
        <w:keepLines w:val="0"/>
        <w:pageBreakBefore w:val="0"/>
        <w:widowControl w:val="0"/>
        <w:numPr>
          <w:ilvl w:val="0"/>
          <w:numId w:val="13"/>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w:t>
      </w:r>
      <w:r>
        <w:rPr>
          <w:rFonts w:hint="default" w:ascii="Times New Roman" w:hAnsi="Times New Roman" w:cs="Times New Roman"/>
          <w:b/>
          <w:bCs/>
          <w:i/>
          <w:iCs/>
          <w:sz w:val="20"/>
          <w:szCs w:val="20"/>
          <w:lang w:val="en-US" w:eastAsia="zh-CN"/>
        </w:rPr>
        <w:t>opping within one resource</w:t>
      </w:r>
    </w:p>
    <w:p>
      <w:pPr>
        <w:keepNext w:val="0"/>
        <w:keepLines w:val="0"/>
        <w:pageBreakBefore w:val="0"/>
        <w:widowControl w:val="0"/>
        <w:numPr>
          <w:ilvl w:val="0"/>
          <w:numId w:val="13"/>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sz w:val="20"/>
          <w:szCs w:val="20"/>
          <w:lang w:val="en-US" w:eastAsia="zh-CN"/>
        </w:rPr>
      </w:pPr>
      <w:r>
        <w:rPr>
          <w:rFonts w:hint="eastAsia" w:ascii="Times New Roman" w:hAnsi="Times New Roman" w:cs="Times New Roman"/>
          <w:b/>
          <w:bCs/>
          <w:i/>
          <w:iCs/>
          <w:sz w:val="20"/>
          <w:szCs w:val="20"/>
          <w:lang w:val="en-US" w:eastAsia="zh-CN"/>
        </w:rPr>
        <w:t>Frequency hopping within one resource set</w:t>
      </w:r>
    </w:p>
    <w:p>
      <w:pPr>
        <w:keepNext w:val="0"/>
        <w:keepLines w:val="0"/>
        <w:pageBreakBefore w:val="0"/>
        <w:widowControl w:val="0"/>
        <w:numPr>
          <w:ilvl w:val="0"/>
          <w:numId w:val="13"/>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pPr>
      <w:r>
        <w:rPr>
          <w:rFonts w:hint="eastAsia" w:ascii="Times New Roman" w:hAnsi="Times New Roman" w:cs="Times New Roman"/>
          <w:b/>
          <w:bCs/>
          <w:i/>
          <w:iCs/>
          <w:sz w:val="20"/>
          <w:szCs w:val="20"/>
          <w:lang w:val="en-US" w:eastAsia="zh-CN"/>
        </w:rPr>
        <w:t>Frequency hopping between different CCs/BWPs/PFLs/resource sets</w:t>
      </w:r>
      <w:r>
        <w:rPr>
          <w:rFonts w:hint="default" w:ascii="Times New Roman" w:hAnsi="Times New Roman" w:cs="Times New Roman"/>
          <w:b/>
          <w:bCs/>
          <w:i/>
          <w:iCs/>
          <w:sz w:val="20"/>
          <w:szCs w:val="20"/>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240" w:lineRule="auto"/>
        <w:ind w:leftChars="0"/>
        <w:textAlignment w:val="auto"/>
      </w:pPr>
    </w:p>
    <w:p>
      <w:pPr>
        <w:pStyle w:val="2"/>
        <w:pageBreakBefore w:val="0"/>
        <w:widowControl/>
        <w:numPr>
          <w:ilvl w:val="0"/>
          <w:numId w:val="5"/>
        </w:numPr>
        <w:pBdr>
          <w:top w:val="single" w:color="auto" w:sz="12" w:space="3"/>
        </w:pBdr>
        <w:tabs>
          <w:tab w:val="clear" w:pos="432"/>
        </w:tabs>
        <w:kinsoku/>
        <w:wordWrap/>
        <w:overflowPunct w:val="0"/>
        <w:topLinePunct w:val="0"/>
        <w:autoSpaceDE w:val="0"/>
        <w:autoSpaceDN w:val="0"/>
        <w:bidi w:val="0"/>
        <w:adjustRightInd w:val="0"/>
        <w:snapToGrid w:val="0"/>
        <w:spacing w:before="157" w:beforeLines="50" w:after="157" w:afterLines="50" w:line="240" w:lineRule="auto"/>
        <w:textAlignment w:val="baseline"/>
        <w:rPr>
          <w:rFonts w:cs="Arial"/>
          <w:kern w:val="0"/>
          <w:sz w:val="28"/>
          <w:szCs w:val="32"/>
        </w:rPr>
      </w:pPr>
      <w:bookmarkStart w:id="5" w:name="_Toc18403976"/>
      <w:bookmarkStart w:id="6" w:name="_Toc18404543"/>
      <w:bookmarkStart w:id="7" w:name="_Toc18413612"/>
      <w:r>
        <w:rPr>
          <w:rFonts w:cs="Arial"/>
          <w:kern w:val="0"/>
          <w:sz w:val="28"/>
          <w:szCs w:val="32"/>
        </w:rPr>
        <w:t>References</w:t>
      </w:r>
      <w:bookmarkEnd w:id="5"/>
      <w:bookmarkEnd w:id="6"/>
      <w:bookmarkEnd w:id="7"/>
    </w:p>
    <w:p>
      <w:pPr>
        <w:pageBreakBefore w:val="0"/>
        <w:numPr>
          <w:ilvl w:val="0"/>
          <w:numId w:val="17"/>
        </w:numPr>
        <w:kinsoku/>
        <w:wordWrap/>
        <w:topLinePunct w:val="0"/>
        <w:autoSpaceDE w:val="0"/>
        <w:autoSpaceDN w:val="0"/>
        <w:bidi w:val="0"/>
        <w:adjustRightInd w:val="0"/>
        <w:snapToGrid w:val="0"/>
        <w:spacing w:before="157" w:beforeLines="50" w:after="157" w:afterLines="50" w:line="240" w:lineRule="auto"/>
        <w:rPr>
          <w:rFonts w:ascii="Times New Roman" w:hAnsi="Times New Roman"/>
          <w:sz w:val="20"/>
          <w:szCs w:val="20"/>
        </w:rPr>
      </w:pPr>
      <w:r>
        <w:rPr>
          <w:rFonts w:ascii="Times New Roman" w:hAnsi="Times New Roman" w:eastAsia="宋体"/>
          <w:sz w:val="20"/>
          <w:szCs w:val="20"/>
        </w:rPr>
        <w:t>RP-2</w:t>
      </w:r>
      <w:r>
        <w:rPr>
          <w:rFonts w:hint="eastAsia" w:ascii="Times New Roman" w:hAnsi="Times New Roman" w:eastAsia="宋体"/>
          <w:sz w:val="20"/>
          <w:szCs w:val="20"/>
          <w:lang w:val="en-US" w:eastAsia="zh-CN"/>
        </w:rPr>
        <w:t>23549,</w:t>
      </w:r>
      <w:r>
        <w:rPr>
          <w:rFonts w:ascii="Times New Roman" w:hAnsi="Times New Roman" w:eastAsia="宋体"/>
          <w:sz w:val="20"/>
          <w:szCs w:val="20"/>
        </w:rPr>
        <w:t xml:space="preserve"> </w:t>
      </w:r>
      <w:r>
        <w:rPr>
          <w:rFonts w:hint="eastAsia" w:ascii="Times New Roman" w:hAnsi="Times New Roman" w:eastAsia="宋体"/>
          <w:sz w:val="20"/>
          <w:szCs w:val="20"/>
        </w:rPr>
        <w:t>New WID on Expanded and Improved NR Positioning</w:t>
      </w:r>
      <w:r>
        <w:rPr>
          <w:rFonts w:hint="eastAsia" w:ascii="Times New Roman" w:hAnsi="Times New Roman" w:eastAsia="宋体"/>
          <w:sz w:val="20"/>
          <w:szCs w:val="20"/>
          <w:lang w:val="en-US" w:eastAsia="zh-CN"/>
        </w:rPr>
        <w:t>, 2022-12.</w:t>
      </w:r>
    </w:p>
    <w:p>
      <w:pPr>
        <w:pageBreakBefore w:val="0"/>
        <w:numPr>
          <w:ilvl w:val="0"/>
          <w:numId w:val="17"/>
        </w:numPr>
        <w:kinsoku/>
        <w:wordWrap/>
        <w:topLinePunct w:val="0"/>
        <w:autoSpaceDE w:val="0"/>
        <w:autoSpaceDN w:val="0"/>
        <w:bidi w:val="0"/>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Report of 3GPP TSG RAN WG1 meeting #111, 2022-11</w:t>
      </w:r>
      <w:r>
        <w:rPr>
          <w:rFonts w:ascii="Times New Roman" w:hAnsi="Times New Roman" w:eastAsia="宋体"/>
          <w:sz w:val="20"/>
          <w:szCs w:val="20"/>
          <w:lang w:val="en-US" w:eastAsia="zh-CN"/>
        </w:rPr>
        <w:t>.</w:t>
      </w:r>
    </w:p>
    <w:p>
      <w:pPr>
        <w:autoSpaceDE w:val="0"/>
        <w:autoSpaceDN w:val="0"/>
        <w:adjustRightInd w:val="0"/>
        <w:snapToGrid w:val="0"/>
        <w:spacing w:before="156" w:beforeLines="50" w:after="156" w:afterLines="50" w:line="240" w:lineRule="auto"/>
        <w:rPr>
          <w:rFonts w:ascii="Times New Roman" w:hAnsi="Times New Roman"/>
          <w:color w:val="000000"/>
          <w:sz w:val="20"/>
          <w:szCs w:val="20"/>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B86ED40B"/>
    <w:multiLevelType w:val="multilevel"/>
    <w:tmpl w:val="B86ED40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Tahoma" w:hAnsi="Tahoma"/>
      </w:rPr>
    </w:lvl>
    <w:lvl w:ilvl="2" w:tentative="0">
      <w:start w:val="1"/>
      <w:numFmt w:val="bullet"/>
      <w:lvlText w:val=""/>
      <w:lvlJc w:val="left"/>
      <w:pPr>
        <w:tabs>
          <w:tab w:val="left" w:pos="1260"/>
        </w:tabs>
        <w:ind w:left="1260" w:leftChars="0" w:hanging="420" w:firstLineChars="0"/>
      </w:pPr>
      <w:rPr>
        <w:rFonts w:hint="default" w:ascii="Tahoma" w:hAnsi="Tahoma"/>
      </w:rPr>
    </w:lvl>
    <w:lvl w:ilvl="3" w:tentative="0">
      <w:start w:val="1"/>
      <w:numFmt w:val="bullet"/>
      <w:lvlText w:val=""/>
      <w:lvlJc w:val="left"/>
      <w:pPr>
        <w:tabs>
          <w:tab w:val="left" w:pos="1680"/>
        </w:tabs>
        <w:ind w:left="1680" w:leftChars="0" w:hanging="420" w:firstLineChars="0"/>
      </w:pPr>
      <w:rPr>
        <w:rFonts w:hint="default" w:ascii="Tahoma" w:hAnsi="Tahoma"/>
      </w:rPr>
    </w:lvl>
    <w:lvl w:ilvl="4" w:tentative="0">
      <w:start w:val="1"/>
      <w:numFmt w:val="bullet"/>
      <w:lvlText w:val=""/>
      <w:lvlJc w:val="left"/>
      <w:pPr>
        <w:tabs>
          <w:tab w:val="left" w:pos="2100"/>
        </w:tabs>
        <w:ind w:left="2100" w:leftChars="0" w:hanging="420" w:firstLineChars="0"/>
      </w:pPr>
      <w:rPr>
        <w:rFonts w:hint="default" w:ascii="Tahoma" w:hAnsi="Tahoma"/>
      </w:rPr>
    </w:lvl>
    <w:lvl w:ilvl="5" w:tentative="0">
      <w:start w:val="1"/>
      <w:numFmt w:val="bullet"/>
      <w:lvlText w:val=""/>
      <w:lvlJc w:val="left"/>
      <w:pPr>
        <w:tabs>
          <w:tab w:val="left" w:pos="2520"/>
        </w:tabs>
        <w:ind w:left="2520" w:leftChars="0" w:hanging="420" w:firstLineChars="0"/>
      </w:pPr>
      <w:rPr>
        <w:rFonts w:hint="default" w:ascii="Tahoma" w:hAnsi="Tahoma"/>
      </w:rPr>
    </w:lvl>
    <w:lvl w:ilvl="6" w:tentative="0">
      <w:start w:val="1"/>
      <w:numFmt w:val="bullet"/>
      <w:lvlText w:val=""/>
      <w:lvlJc w:val="left"/>
      <w:pPr>
        <w:tabs>
          <w:tab w:val="left" w:pos="2940"/>
        </w:tabs>
        <w:ind w:left="2940" w:leftChars="0" w:hanging="420" w:firstLineChars="0"/>
      </w:pPr>
      <w:rPr>
        <w:rFonts w:hint="default" w:ascii="Tahoma" w:hAnsi="Tahoma"/>
      </w:rPr>
    </w:lvl>
    <w:lvl w:ilvl="7" w:tentative="0">
      <w:start w:val="1"/>
      <w:numFmt w:val="bullet"/>
      <w:lvlText w:val=""/>
      <w:lvlJc w:val="left"/>
      <w:pPr>
        <w:tabs>
          <w:tab w:val="left" w:pos="3360"/>
        </w:tabs>
        <w:ind w:left="3360" w:leftChars="0" w:hanging="420" w:firstLineChars="0"/>
      </w:pPr>
      <w:rPr>
        <w:rFonts w:hint="default" w:ascii="Tahoma" w:hAnsi="Tahoma"/>
      </w:rPr>
    </w:lvl>
    <w:lvl w:ilvl="8" w:tentative="0">
      <w:start w:val="1"/>
      <w:numFmt w:val="bullet"/>
      <w:lvlText w:val=""/>
      <w:lvlJc w:val="left"/>
      <w:pPr>
        <w:tabs>
          <w:tab w:val="left" w:pos="3780"/>
        </w:tabs>
        <w:ind w:left="3780" w:leftChars="0" w:hanging="420" w:firstLineChars="0"/>
      </w:pPr>
      <w:rPr>
        <w:rFonts w:hint="default" w:ascii="Tahoma" w:hAnsi="Tahoma"/>
      </w:rPr>
    </w:lvl>
  </w:abstractNum>
  <w:abstractNum w:abstractNumId="2">
    <w:nsid w:val="BD3C0B3B"/>
    <w:multiLevelType w:val="multilevel"/>
    <w:tmpl w:val="BD3C0B3B"/>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C53DFE3F"/>
    <w:multiLevelType w:val="singleLevel"/>
    <w:tmpl w:val="C53DFE3F"/>
    <w:lvl w:ilvl="0" w:tentative="0">
      <w:start w:val="1"/>
      <w:numFmt w:val="bullet"/>
      <w:lvlText w:val=""/>
      <w:lvlJc w:val="left"/>
      <w:pPr>
        <w:ind w:left="420" w:hanging="420"/>
      </w:pPr>
      <w:rPr>
        <w:rFonts w:hint="default" w:ascii="Wingdings" w:hAnsi="Wingdings"/>
      </w:rPr>
    </w:lvl>
  </w:abstractNum>
  <w:abstractNum w:abstractNumId="4">
    <w:nsid w:val="CB1D03BB"/>
    <w:multiLevelType w:val="multilevel"/>
    <w:tmpl w:val="CB1D03BB"/>
    <w:lvl w:ilvl="0" w:tentative="0">
      <w:start w:val="2"/>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ascii="Arial Unicode MS" w:hAnsi="Arial Unicode MS" w:eastAsia="宋体" w:cs="宋体"/>
      </w:rPr>
    </w:lvl>
    <w:lvl w:ilvl="3" w:tentative="0">
      <w:start w:val="1"/>
      <w:numFmt w:val="decimal"/>
      <w:lvlText w:val="%1.%2.%3.%4."/>
      <w:lvlJc w:val="left"/>
      <w:pPr>
        <w:ind w:left="850" w:hanging="850"/>
      </w:pPr>
      <w:rPr>
        <w:rFonts w:hint="default" w:ascii="Arial Unicode MS" w:hAnsi="Arial Unicode MS"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6">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7">
    <w:nsid w:val="00F56C5E"/>
    <w:multiLevelType w:val="singleLevel"/>
    <w:tmpl w:val="00F56C5E"/>
    <w:lvl w:ilvl="0" w:tentative="0">
      <w:start w:val="1"/>
      <w:numFmt w:val="bullet"/>
      <w:lvlText w:val=""/>
      <w:lvlJc w:val="left"/>
      <w:pPr>
        <w:ind w:left="420" w:hanging="420"/>
      </w:pPr>
      <w:rPr>
        <w:rFonts w:hint="default" w:ascii="Wingdings" w:hAnsi="Wingdings"/>
      </w:rPr>
    </w:lvl>
  </w:abstractNum>
  <w:abstractNum w:abstractNumId="8">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965C368"/>
    <w:multiLevelType w:val="singleLevel"/>
    <w:tmpl w:val="0965C368"/>
    <w:lvl w:ilvl="0" w:tentative="0">
      <w:start w:val="1"/>
      <w:numFmt w:val="bullet"/>
      <w:lvlText w:val=""/>
      <w:lvlJc w:val="left"/>
      <w:pPr>
        <w:ind w:left="420" w:hanging="420"/>
      </w:pPr>
      <w:rPr>
        <w:rFonts w:hint="default" w:ascii="Wingdings" w:hAnsi="Wingdings"/>
      </w:rPr>
    </w:lvl>
  </w:abstractNum>
  <w:abstractNum w:abstractNumId="10">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5CE147A"/>
    <w:multiLevelType w:val="multilevel"/>
    <w:tmpl w:val="55CE147A"/>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62A47811"/>
    <w:multiLevelType w:val="multilevel"/>
    <w:tmpl w:val="62A478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AC70A17"/>
    <w:multiLevelType w:val="multilevel"/>
    <w:tmpl w:val="7AC70A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2"/>
  </w:num>
  <w:num w:numId="3">
    <w:abstractNumId w:val="10"/>
  </w:num>
  <w:num w:numId="4">
    <w:abstractNumId w:val="11"/>
  </w:num>
  <w:num w:numId="5">
    <w:abstractNumId w:val="6"/>
  </w:num>
  <w:num w:numId="6">
    <w:abstractNumId w:val="8"/>
  </w:num>
  <w:num w:numId="7">
    <w:abstractNumId w:val="15"/>
  </w:num>
  <w:num w:numId="8">
    <w:abstractNumId w:val="4"/>
  </w:num>
  <w:num w:numId="9">
    <w:abstractNumId w:val="13"/>
  </w:num>
  <w:num w:numId="10">
    <w:abstractNumId w:val="2"/>
  </w:num>
  <w:num w:numId="11">
    <w:abstractNumId w:val="16"/>
  </w:num>
  <w:num w:numId="12">
    <w:abstractNumId w:val="14"/>
  </w:num>
  <w:num w:numId="13">
    <w:abstractNumId w:val="1"/>
  </w:num>
  <w:num w:numId="14">
    <w:abstractNumId w:val="3"/>
  </w:num>
  <w:num w:numId="15">
    <w:abstractNumId w:val="7"/>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6A6A"/>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6521B"/>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727"/>
    <w:rsid w:val="0013288E"/>
    <w:rsid w:val="00134275"/>
    <w:rsid w:val="00134595"/>
    <w:rsid w:val="0013534D"/>
    <w:rsid w:val="00137B0E"/>
    <w:rsid w:val="00137D4E"/>
    <w:rsid w:val="00140571"/>
    <w:rsid w:val="001413B6"/>
    <w:rsid w:val="00141835"/>
    <w:rsid w:val="00143D02"/>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3E7"/>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3EC"/>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2AC"/>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51F"/>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0EF5"/>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47094"/>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0C44"/>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1E9"/>
    <w:rsid w:val="005514AA"/>
    <w:rsid w:val="00553234"/>
    <w:rsid w:val="00553A61"/>
    <w:rsid w:val="0055402E"/>
    <w:rsid w:val="0055689F"/>
    <w:rsid w:val="005604D2"/>
    <w:rsid w:val="00560AD9"/>
    <w:rsid w:val="00561349"/>
    <w:rsid w:val="00561E2F"/>
    <w:rsid w:val="00563B02"/>
    <w:rsid w:val="005657FC"/>
    <w:rsid w:val="00565A48"/>
    <w:rsid w:val="00566894"/>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1B73"/>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3832"/>
    <w:rsid w:val="00756779"/>
    <w:rsid w:val="007573D2"/>
    <w:rsid w:val="007577AC"/>
    <w:rsid w:val="00760C49"/>
    <w:rsid w:val="00761BE2"/>
    <w:rsid w:val="007626A2"/>
    <w:rsid w:val="00762C3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4EAF"/>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351"/>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24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EA8"/>
    <w:rsid w:val="00871FA9"/>
    <w:rsid w:val="00872250"/>
    <w:rsid w:val="008731B8"/>
    <w:rsid w:val="00873D16"/>
    <w:rsid w:val="008757FA"/>
    <w:rsid w:val="008768D2"/>
    <w:rsid w:val="00876B45"/>
    <w:rsid w:val="00880F6C"/>
    <w:rsid w:val="0088223F"/>
    <w:rsid w:val="008825D8"/>
    <w:rsid w:val="00882DAB"/>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4566"/>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E3A"/>
    <w:rsid w:val="009B4FF0"/>
    <w:rsid w:val="009C2086"/>
    <w:rsid w:val="009C3006"/>
    <w:rsid w:val="009C5F45"/>
    <w:rsid w:val="009D159F"/>
    <w:rsid w:val="009D2A16"/>
    <w:rsid w:val="009D6952"/>
    <w:rsid w:val="009D7F9A"/>
    <w:rsid w:val="009E068F"/>
    <w:rsid w:val="009E1B89"/>
    <w:rsid w:val="009E47DB"/>
    <w:rsid w:val="009E6103"/>
    <w:rsid w:val="009E619C"/>
    <w:rsid w:val="009E67E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1B16"/>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05AE"/>
    <w:rsid w:val="00B0132A"/>
    <w:rsid w:val="00B029C1"/>
    <w:rsid w:val="00B07903"/>
    <w:rsid w:val="00B07968"/>
    <w:rsid w:val="00B07B19"/>
    <w:rsid w:val="00B10FBA"/>
    <w:rsid w:val="00B1189C"/>
    <w:rsid w:val="00B12666"/>
    <w:rsid w:val="00B126DA"/>
    <w:rsid w:val="00B13AA2"/>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3962"/>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5551"/>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4934"/>
    <w:rsid w:val="00CC58C3"/>
    <w:rsid w:val="00CD229F"/>
    <w:rsid w:val="00CD4D84"/>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D79"/>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63DB"/>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624"/>
    <w:rsid w:val="00DC1BA2"/>
    <w:rsid w:val="00DC22BE"/>
    <w:rsid w:val="00DC45CD"/>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6C9C"/>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535D7"/>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19D"/>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3F1"/>
    <w:rsid w:val="00F3464D"/>
    <w:rsid w:val="00F34AA7"/>
    <w:rsid w:val="00F34C35"/>
    <w:rsid w:val="00F35C46"/>
    <w:rsid w:val="00F36774"/>
    <w:rsid w:val="00F405D4"/>
    <w:rsid w:val="00F40AA9"/>
    <w:rsid w:val="00F40C50"/>
    <w:rsid w:val="00F40FD9"/>
    <w:rsid w:val="00F4100B"/>
    <w:rsid w:val="00F411DB"/>
    <w:rsid w:val="00F4307A"/>
    <w:rsid w:val="00F43C34"/>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82FCA"/>
    <w:rsid w:val="016F2955"/>
    <w:rsid w:val="01A61BCC"/>
    <w:rsid w:val="01DB35BC"/>
    <w:rsid w:val="01E06294"/>
    <w:rsid w:val="01E93F57"/>
    <w:rsid w:val="02090528"/>
    <w:rsid w:val="02096E03"/>
    <w:rsid w:val="021A15C5"/>
    <w:rsid w:val="0276200A"/>
    <w:rsid w:val="02852DB6"/>
    <w:rsid w:val="02AF57A1"/>
    <w:rsid w:val="02B750FF"/>
    <w:rsid w:val="02C63FE5"/>
    <w:rsid w:val="02E5442A"/>
    <w:rsid w:val="02F13DD8"/>
    <w:rsid w:val="032E412C"/>
    <w:rsid w:val="03397D1D"/>
    <w:rsid w:val="034C2C19"/>
    <w:rsid w:val="035125B8"/>
    <w:rsid w:val="03695ACD"/>
    <w:rsid w:val="036E1C26"/>
    <w:rsid w:val="037439E2"/>
    <w:rsid w:val="03811AAC"/>
    <w:rsid w:val="038C6338"/>
    <w:rsid w:val="03BC3684"/>
    <w:rsid w:val="041E10AB"/>
    <w:rsid w:val="0427122D"/>
    <w:rsid w:val="04405CD4"/>
    <w:rsid w:val="04635DF4"/>
    <w:rsid w:val="04CA0EF3"/>
    <w:rsid w:val="05D1293B"/>
    <w:rsid w:val="05DD432B"/>
    <w:rsid w:val="062609E2"/>
    <w:rsid w:val="06270E5D"/>
    <w:rsid w:val="06301129"/>
    <w:rsid w:val="06931225"/>
    <w:rsid w:val="06997BBE"/>
    <w:rsid w:val="06FD17FF"/>
    <w:rsid w:val="07332E45"/>
    <w:rsid w:val="07393CB3"/>
    <w:rsid w:val="074F610E"/>
    <w:rsid w:val="07645E7E"/>
    <w:rsid w:val="07815AA2"/>
    <w:rsid w:val="078372D0"/>
    <w:rsid w:val="07DB31F6"/>
    <w:rsid w:val="08036844"/>
    <w:rsid w:val="0813454F"/>
    <w:rsid w:val="08290B61"/>
    <w:rsid w:val="082E3074"/>
    <w:rsid w:val="083828A5"/>
    <w:rsid w:val="084C6A0E"/>
    <w:rsid w:val="084F5179"/>
    <w:rsid w:val="08634AA9"/>
    <w:rsid w:val="086A0D8F"/>
    <w:rsid w:val="08870B03"/>
    <w:rsid w:val="08DF3B5A"/>
    <w:rsid w:val="08F85767"/>
    <w:rsid w:val="09253E9C"/>
    <w:rsid w:val="0929781C"/>
    <w:rsid w:val="09324291"/>
    <w:rsid w:val="095438C6"/>
    <w:rsid w:val="0962097D"/>
    <w:rsid w:val="098B1EF5"/>
    <w:rsid w:val="09911B95"/>
    <w:rsid w:val="09945F3A"/>
    <w:rsid w:val="09C00C21"/>
    <w:rsid w:val="09CB5A6C"/>
    <w:rsid w:val="09CF7F1B"/>
    <w:rsid w:val="09F00BD8"/>
    <w:rsid w:val="09F318B6"/>
    <w:rsid w:val="09FD6E02"/>
    <w:rsid w:val="0A1A74F5"/>
    <w:rsid w:val="0A1D73FF"/>
    <w:rsid w:val="0A3737D9"/>
    <w:rsid w:val="0A750F68"/>
    <w:rsid w:val="0A8417D4"/>
    <w:rsid w:val="0A892DAE"/>
    <w:rsid w:val="0AE61C59"/>
    <w:rsid w:val="0AEC356E"/>
    <w:rsid w:val="0AF22A25"/>
    <w:rsid w:val="0B1D2647"/>
    <w:rsid w:val="0B545B44"/>
    <w:rsid w:val="0B866A92"/>
    <w:rsid w:val="0BCC7616"/>
    <w:rsid w:val="0BFC2A25"/>
    <w:rsid w:val="0C0E0547"/>
    <w:rsid w:val="0C34609D"/>
    <w:rsid w:val="0C4A196E"/>
    <w:rsid w:val="0C567D3B"/>
    <w:rsid w:val="0C7F2DB2"/>
    <w:rsid w:val="0CBA1583"/>
    <w:rsid w:val="0CBC415D"/>
    <w:rsid w:val="0CD249CC"/>
    <w:rsid w:val="0D0E7FCB"/>
    <w:rsid w:val="0D4246F7"/>
    <w:rsid w:val="0D5B571E"/>
    <w:rsid w:val="0D9222C1"/>
    <w:rsid w:val="0DC045AB"/>
    <w:rsid w:val="0DFF7D07"/>
    <w:rsid w:val="0E374CA0"/>
    <w:rsid w:val="0E6F0740"/>
    <w:rsid w:val="0EC0431F"/>
    <w:rsid w:val="0EC841AC"/>
    <w:rsid w:val="0F321E2D"/>
    <w:rsid w:val="0F4E2E70"/>
    <w:rsid w:val="0F52256E"/>
    <w:rsid w:val="0F6715A1"/>
    <w:rsid w:val="0F8070F6"/>
    <w:rsid w:val="0FA731D6"/>
    <w:rsid w:val="0FEB5B51"/>
    <w:rsid w:val="0FFB5943"/>
    <w:rsid w:val="10232DBB"/>
    <w:rsid w:val="103246BB"/>
    <w:rsid w:val="103F55E5"/>
    <w:rsid w:val="10685221"/>
    <w:rsid w:val="108C2AA3"/>
    <w:rsid w:val="10DE14BF"/>
    <w:rsid w:val="10DF3115"/>
    <w:rsid w:val="113E3C41"/>
    <w:rsid w:val="115043F2"/>
    <w:rsid w:val="11793F32"/>
    <w:rsid w:val="11B5797D"/>
    <w:rsid w:val="11C5124A"/>
    <w:rsid w:val="11DD4AE3"/>
    <w:rsid w:val="11E15AE5"/>
    <w:rsid w:val="11E53E9B"/>
    <w:rsid w:val="11FC2643"/>
    <w:rsid w:val="11FC5F30"/>
    <w:rsid w:val="120048B1"/>
    <w:rsid w:val="12015140"/>
    <w:rsid w:val="12394E59"/>
    <w:rsid w:val="124650E4"/>
    <w:rsid w:val="127D584B"/>
    <w:rsid w:val="1299671F"/>
    <w:rsid w:val="12A742B1"/>
    <w:rsid w:val="12C40C84"/>
    <w:rsid w:val="12DA03B2"/>
    <w:rsid w:val="12E63AB1"/>
    <w:rsid w:val="12F26CD0"/>
    <w:rsid w:val="13036F01"/>
    <w:rsid w:val="131813A1"/>
    <w:rsid w:val="134D6BAD"/>
    <w:rsid w:val="13684930"/>
    <w:rsid w:val="13DC640D"/>
    <w:rsid w:val="141842FE"/>
    <w:rsid w:val="14352831"/>
    <w:rsid w:val="146B64E1"/>
    <w:rsid w:val="147C4AD6"/>
    <w:rsid w:val="14993B21"/>
    <w:rsid w:val="14D73601"/>
    <w:rsid w:val="15014A40"/>
    <w:rsid w:val="15283F81"/>
    <w:rsid w:val="15442AC7"/>
    <w:rsid w:val="156B4B8B"/>
    <w:rsid w:val="15762F38"/>
    <w:rsid w:val="15890495"/>
    <w:rsid w:val="15CB3D7D"/>
    <w:rsid w:val="15D71452"/>
    <w:rsid w:val="15E03D6F"/>
    <w:rsid w:val="15EE6FF0"/>
    <w:rsid w:val="15EF5060"/>
    <w:rsid w:val="168179E1"/>
    <w:rsid w:val="16950091"/>
    <w:rsid w:val="169C366A"/>
    <w:rsid w:val="16DA1E4D"/>
    <w:rsid w:val="16FB015A"/>
    <w:rsid w:val="17003574"/>
    <w:rsid w:val="17156A85"/>
    <w:rsid w:val="171C4EF7"/>
    <w:rsid w:val="172062A9"/>
    <w:rsid w:val="17535B24"/>
    <w:rsid w:val="17A31370"/>
    <w:rsid w:val="17AE1B61"/>
    <w:rsid w:val="17B06B1C"/>
    <w:rsid w:val="17DB5457"/>
    <w:rsid w:val="17F53DC6"/>
    <w:rsid w:val="17F84A91"/>
    <w:rsid w:val="180B4FFB"/>
    <w:rsid w:val="18211C57"/>
    <w:rsid w:val="1842664F"/>
    <w:rsid w:val="18543673"/>
    <w:rsid w:val="186B7D0B"/>
    <w:rsid w:val="189D065F"/>
    <w:rsid w:val="18BC6F6C"/>
    <w:rsid w:val="18CC22F5"/>
    <w:rsid w:val="18DC52D7"/>
    <w:rsid w:val="18F32BCE"/>
    <w:rsid w:val="18F47A1E"/>
    <w:rsid w:val="18FC4F8D"/>
    <w:rsid w:val="18FF4ABB"/>
    <w:rsid w:val="19343406"/>
    <w:rsid w:val="196811DB"/>
    <w:rsid w:val="19B56271"/>
    <w:rsid w:val="1A45032B"/>
    <w:rsid w:val="1A640E62"/>
    <w:rsid w:val="1A694128"/>
    <w:rsid w:val="1A713779"/>
    <w:rsid w:val="1A84217D"/>
    <w:rsid w:val="1A9B1F53"/>
    <w:rsid w:val="1ABB54B3"/>
    <w:rsid w:val="1ADD47AF"/>
    <w:rsid w:val="1AE025B8"/>
    <w:rsid w:val="1B27429F"/>
    <w:rsid w:val="1B287D14"/>
    <w:rsid w:val="1B3D4012"/>
    <w:rsid w:val="1B481AFB"/>
    <w:rsid w:val="1B7A1663"/>
    <w:rsid w:val="1B8F6978"/>
    <w:rsid w:val="1BA669C0"/>
    <w:rsid w:val="1BAD0862"/>
    <w:rsid w:val="1BC27038"/>
    <w:rsid w:val="1BC73993"/>
    <w:rsid w:val="1BD24B16"/>
    <w:rsid w:val="1BF62321"/>
    <w:rsid w:val="1C130C67"/>
    <w:rsid w:val="1C1A3F41"/>
    <w:rsid w:val="1C2D5D31"/>
    <w:rsid w:val="1C696E9C"/>
    <w:rsid w:val="1CB66FE7"/>
    <w:rsid w:val="1CBD093F"/>
    <w:rsid w:val="1CC83450"/>
    <w:rsid w:val="1CE21C50"/>
    <w:rsid w:val="1CE9601A"/>
    <w:rsid w:val="1CFD2D01"/>
    <w:rsid w:val="1D235F66"/>
    <w:rsid w:val="1D60463E"/>
    <w:rsid w:val="1D665A9E"/>
    <w:rsid w:val="1D667D51"/>
    <w:rsid w:val="1D8D3AB3"/>
    <w:rsid w:val="1DC566C0"/>
    <w:rsid w:val="1DE501D0"/>
    <w:rsid w:val="1E21472F"/>
    <w:rsid w:val="1E2442EB"/>
    <w:rsid w:val="1E2804C4"/>
    <w:rsid w:val="1E2C49A1"/>
    <w:rsid w:val="1E3722FA"/>
    <w:rsid w:val="1E6A1059"/>
    <w:rsid w:val="1E8146DA"/>
    <w:rsid w:val="1EA46EA2"/>
    <w:rsid w:val="1EAA39F6"/>
    <w:rsid w:val="1EB2633F"/>
    <w:rsid w:val="1EB847E9"/>
    <w:rsid w:val="1EFC10C8"/>
    <w:rsid w:val="1F853F14"/>
    <w:rsid w:val="1F8E0455"/>
    <w:rsid w:val="1F947118"/>
    <w:rsid w:val="1FA76059"/>
    <w:rsid w:val="1FAF272D"/>
    <w:rsid w:val="1FC76FC8"/>
    <w:rsid w:val="1FDB17D6"/>
    <w:rsid w:val="1FE374E8"/>
    <w:rsid w:val="1FFC5344"/>
    <w:rsid w:val="204934AB"/>
    <w:rsid w:val="20573F56"/>
    <w:rsid w:val="20705710"/>
    <w:rsid w:val="20840318"/>
    <w:rsid w:val="20930DFA"/>
    <w:rsid w:val="20CE5836"/>
    <w:rsid w:val="20D02BC7"/>
    <w:rsid w:val="20F0405B"/>
    <w:rsid w:val="20FF009C"/>
    <w:rsid w:val="210637EE"/>
    <w:rsid w:val="210948AE"/>
    <w:rsid w:val="210D5388"/>
    <w:rsid w:val="211E529B"/>
    <w:rsid w:val="212F726E"/>
    <w:rsid w:val="213A5E32"/>
    <w:rsid w:val="214425B4"/>
    <w:rsid w:val="21783992"/>
    <w:rsid w:val="218F6DAE"/>
    <w:rsid w:val="21A40526"/>
    <w:rsid w:val="21D36B48"/>
    <w:rsid w:val="21D93ECC"/>
    <w:rsid w:val="221B7641"/>
    <w:rsid w:val="222E4F94"/>
    <w:rsid w:val="223B5FD0"/>
    <w:rsid w:val="224F5646"/>
    <w:rsid w:val="22565B2D"/>
    <w:rsid w:val="229A0A46"/>
    <w:rsid w:val="22BD0C78"/>
    <w:rsid w:val="22D5441E"/>
    <w:rsid w:val="22D61F71"/>
    <w:rsid w:val="22DC084E"/>
    <w:rsid w:val="23170589"/>
    <w:rsid w:val="232660FF"/>
    <w:rsid w:val="23BE01FF"/>
    <w:rsid w:val="2418652F"/>
    <w:rsid w:val="245A1846"/>
    <w:rsid w:val="248512BD"/>
    <w:rsid w:val="24DF0E0B"/>
    <w:rsid w:val="24DF29CF"/>
    <w:rsid w:val="24E51B39"/>
    <w:rsid w:val="25173A41"/>
    <w:rsid w:val="252D5DCC"/>
    <w:rsid w:val="255B75CB"/>
    <w:rsid w:val="25841D88"/>
    <w:rsid w:val="25983F03"/>
    <w:rsid w:val="25A45302"/>
    <w:rsid w:val="25A94E88"/>
    <w:rsid w:val="25C84E2B"/>
    <w:rsid w:val="25E135DF"/>
    <w:rsid w:val="261E413F"/>
    <w:rsid w:val="263E633F"/>
    <w:rsid w:val="267E599C"/>
    <w:rsid w:val="26995B41"/>
    <w:rsid w:val="26A655F4"/>
    <w:rsid w:val="26C17FC8"/>
    <w:rsid w:val="26D04B06"/>
    <w:rsid w:val="26E309F3"/>
    <w:rsid w:val="27626EF5"/>
    <w:rsid w:val="2771651B"/>
    <w:rsid w:val="27771F24"/>
    <w:rsid w:val="27997F2B"/>
    <w:rsid w:val="27B132D6"/>
    <w:rsid w:val="27B94A5B"/>
    <w:rsid w:val="27FF1FDA"/>
    <w:rsid w:val="28026CAF"/>
    <w:rsid w:val="28447529"/>
    <w:rsid w:val="28915210"/>
    <w:rsid w:val="28937E74"/>
    <w:rsid w:val="29095102"/>
    <w:rsid w:val="293E1B9C"/>
    <w:rsid w:val="299F2C32"/>
    <w:rsid w:val="29A240AE"/>
    <w:rsid w:val="29A81AA0"/>
    <w:rsid w:val="29B32846"/>
    <w:rsid w:val="29ED63D5"/>
    <w:rsid w:val="2A125FBB"/>
    <w:rsid w:val="2A275682"/>
    <w:rsid w:val="2A275D46"/>
    <w:rsid w:val="2A725700"/>
    <w:rsid w:val="2AA14025"/>
    <w:rsid w:val="2AA2481F"/>
    <w:rsid w:val="2AAB4EF5"/>
    <w:rsid w:val="2ACA4643"/>
    <w:rsid w:val="2B2348E2"/>
    <w:rsid w:val="2B410587"/>
    <w:rsid w:val="2B5D0645"/>
    <w:rsid w:val="2B8D6E28"/>
    <w:rsid w:val="2B907720"/>
    <w:rsid w:val="2BAC5F48"/>
    <w:rsid w:val="2BCD0751"/>
    <w:rsid w:val="2C227360"/>
    <w:rsid w:val="2C7F2EA6"/>
    <w:rsid w:val="2C8C2358"/>
    <w:rsid w:val="2C8E4E6A"/>
    <w:rsid w:val="2C9927E7"/>
    <w:rsid w:val="2CA56F60"/>
    <w:rsid w:val="2CAF2767"/>
    <w:rsid w:val="2CAF5212"/>
    <w:rsid w:val="2CFB59F1"/>
    <w:rsid w:val="2D125EB2"/>
    <w:rsid w:val="2D1E05D5"/>
    <w:rsid w:val="2D306F6B"/>
    <w:rsid w:val="2D5627A8"/>
    <w:rsid w:val="2D8D29A8"/>
    <w:rsid w:val="2D9A6090"/>
    <w:rsid w:val="2DBD4FAF"/>
    <w:rsid w:val="2DDF7C66"/>
    <w:rsid w:val="2DFB709E"/>
    <w:rsid w:val="2E09336F"/>
    <w:rsid w:val="2E1874A7"/>
    <w:rsid w:val="2E291A3B"/>
    <w:rsid w:val="2E6A0F96"/>
    <w:rsid w:val="2EC27772"/>
    <w:rsid w:val="2ED0428B"/>
    <w:rsid w:val="2EF02B88"/>
    <w:rsid w:val="2F263E1B"/>
    <w:rsid w:val="2F2F7D99"/>
    <w:rsid w:val="2F337D9E"/>
    <w:rsid w:val="2F876359"/>
    <w:rsid w:val="2FE271AA"/>
    <w:rsid w:val="300160A4"/>
    <w:rsid w:val="3003631E"/>
    <w:rsid w:val="30745F5B"/>
    <w:rsid w:val="3078124A"/>
    <w:rsid w:val="3090209F"/>
    <w:rsid w:val="30953FB5"/>
    <w:rsid w:val="30B900CD"/>
    <w:rsid w:val="30EF2DA4"/>
    <w:rsid w:val="31374CCA"/>
    <w:rsid w:val="31623402"/>
    <w:rsid w:val="31647FD3"/>
    <w:rsid w:val="31C35099"/>
    <w:rsid w:val="31EB4942"/>
    <w:rsid w:val="31EC5E5F"/>
    <w:rsid w:val="32187B45"/>
    <w:rsid w:val="32362071"/>
    <w:rsid w:val="3273050E"/>
    <w:rsid w:val="32891F62"/>
    <w:rsid w:val="328C1583"/>
    <w:rsid w:val="32A357A6"/>
    <w:rsid w:val="32BA51FE"/>
    <w:rsid w:val="32C9080C"/>
    <w:rsid w:val="32CA0CF4"/>
    <w:rsid w:val="32E51067"/>
    <w:rsid w:val="32FC45E1"/>
    <w:rsid w:val="334275F5"/>
    <w:rsid w:val="33636F14"/>
    <w:rsid w:val="33670485"/>
    <w:rsid w:val="337F19A3"/>
    <w:rsid w:val="33C54618"/>
    <w:rsid w:val="33CE360E"/>
    <w:rsid w:val="33F922E8"/>
    <w:rsid w:val="34211C7C"/>
    <w:rsid w:val="34617445"/>
    <w:rsid w:val="347A4EB8"/>
    <w:rsid w:val="35183D8B"/>
    <w:rsid w:val="35387D52"/>
    <w:rsid w:val="35523D5A"/>
    <w:rsid w:val="356926AE"/>
    <w:rsid w:val="35746D1B"/>
    <w:rsid w:val="358E0757"/>
    <w:rsid w:val="35AE7101"/>
    <w:rsid w:val="35BB43C3"/>
    <w:rsid w:val="35F9212A"/>
    <w:rsid w:val="36281B26"/>
    <w:rsid w:val="36336C04"/>
    <w:rsid w:val="366043F8"/>
    <w:rsid w:val="366626F2"/>
    <w:rsid w:val="36815360"/>
    <w:rsid w:val="369176BA"/>
    <w:rsid w:val="369D6E52"/>
    <w:rsid w:val="36C63FD4"/>
    <w:rsid w:val="36D74E42"/>
    <w:rsid w:val="36EC0BD4"/>
    <w:rsid w:val="374F6194"/>
    <w:rsid w:val="37503514"/>
    <w:rsid w:val="377F6041"/>
    <w:rsid w:val="37AB26C1"/>
    <w:rsid w:val="37BC7D72"/>
    <w:rsid w:val="37D133A4"/>
    <w:rsid w:val="37E15A1B"/>
    <w:rsid w:val="37FE3363"/>
    <w:rsid w:val="380F66D8"/>
    <w:rsid w:val="381F6D33"/>
    <w:rsid w:val="382E42A6"/>
    <w:rsid w:val="38A75F14"/>
    <w:rsid w:val="38B502C7"/>
    <w:rsid w:val="38BD2C6C"/>
    <w:rsid w:val="38E022B1"/>
    <w:rsid w:val="38EC59C6"/>
    <w:rsid w:val="38FA0996"/>
    <w:rsid w:val="392957F1"/>
    <w:rsid w:val="39370672"/>
    <w:rsid w:val="39467E4B"/>
    <w:rsid w:val="396E02FE"/>
    <w:rsid w:val="39781F0B"/>
    <w:rsid w:val="397F1A36"/>
    <w:rsid w:val="39813C35"/>
    <w:rsid w:val="3982272C"/>
    <w:rsid w:val="399648C1"/>
    <w:rsid w:val="39BB3B43"/>
    <w:rsid w:val="39E31D59"/>
    <w:rsid w:val="39F55409"/>
    <w:rsid w:val="3A156CE0"/>
    <w:rsid w:val="3A277789"/>
    <w:rsid w:val="3A282070"/>
    <w:rsid w:val="3A2D66D3"/>
    <w:rsid w:val="3A774C42"/>
    <w:rsid w:val="3A891A0E"/>
    <w:rsid w:val="3A8950EF"/>
    <w:rsid w:val="3A8D551A"/>
    <w:rsid w:val="3A9620D1"/>
    <w:rsid w:val="3AA26C9B"/>
    <w:rsid w:val="3ABD4C4E"/>
    <w:rsid w:val="3AD0140D"/>
    <w:rsid w:val="3ADC5E36"/>
    <w:rsid w:val="3AFC2B33"/>
    <w:rsid w:val="3AFC41BB"/>
    <w:rsid w:val="3B7071D7"/>
    <w:rsid w:val="3B7F2802"/>
    <w:rsid w:val="3B8B43E4"/>
    <w:rsid w:val="3BB502C9"/>
    <w:rsid w:val="3BC33F8E"/>
    <w:rsid w:val="3BCE7F95"/>
    <w:rsid w:val="3C087392"/>
    <w:rsid w:val="3C1946D5"/>
    <w:rsid w:val="3C254B46"/>
    <w:rsid w:val="3C3F7E0E"/>
    <w:rsid w:val="3C893061"/>
    <w:rsid w:val="3C9374D0"/>
    <w:rsid w:val="3C9D7B54"/>
    <w:rsid w:val="3CB674D9"/>
    <w:rsid w:val="3CBD1AE8"/>
    <w:rsid w:val="3D0F30FA"/>
    <w:rsid w:val="3D634A82"/>
    <w:rsid w:val="3D9210CE"/>
    <w:rsid w:val="3D984876"/>
    <w:rsid w:val="3DAC0E95"/>
    <w:rsid w:val="3E176CAE"/>
    <w:rsid w:val="3E7A082F"/>
    <w:rsid w:val="3E926EC3"/>
    <w:rsid w:val="3E93478A"/>
    <w:rsid w:val="3E9F10BF"/>
    <w:rsid w:val="3EA37509"/>
    <w:rsid w:val="3EAB4933"/>
    <w:rsid w:val="3EC40624"/>
    <w:rsid w:val="3F055B96"/>
    <w:rsid w:val="3F0875E3"/>
    <w:rsid w:val="3F09726C"/>
    <w:rsid w:val="3F1F25CF"/>
    <w:rsid w:val="3F4275F7"/>
    <w:rsid w:val="3F495E7B"/>
    <w:rsid w:val="3F5B21D1"/>
    <w:rsid w:val="3F73510D"/>
    <w:rsid w:val="3F8759C3"/>
    <w:rsid w:val="3FB60A94"/>
    <w:rsid w:val="3FBD74AC"/>
    <w:rsid w:val="3FCB1C0B"/>
    <w:rsid w:val="402D7D95"/>
    <w:rsid w:val="402F67F2"/>
    <w:rsid w:val="402F7D1A"/>
    <w:rsid w:val="405E7B10"/>
    <w:rsid w:val="40D44E00"/>
    <w:rsid w:val="40E74724"/>
    <w:rsid w:val="411531A3"/>
    <w:rsid w:val="414B0A93"/>
    <w:rsid w:val="415723A1"/>
    <w:rsid w:val="41643432"/>
    <w:rsid w:val="421B0E01"/>
    <w:rsid w:val="42397238"/>
    <w:rsid w:val="42481B2A"/>
    <w:rsid w:val="42823824"/>
    <w:rsid w:val="428328E7"/>
    <w:rsid w:val="42E63F3C"/>
    <w:rsid w:val="42F81741"/>
    <w:rsid w:val="42FD5B58"/>
    <w:rsid w:val="437906BF"/>
    <w:rsid w:val="43896179"/>
    <w:rsid w:val="43945CC5"/>
    <w:rsid w:val="43BC7AB7"/>
    <w:rsid w:val="43CE3BC6"/>
    <w:rsid w:val="43FB5AF0"/>
    <w:rsid w:val="440B4BBE"/>
    <w:rsid w:val="44211E9A"/>
    <w:rsid w:val="443909A1"/>
    <w:rsid w:val="4454633F"/>
    <w:rsid w:val="44555A83"/>
    <w:rsid w:val="446A1C8A"/>
    <w:rsid w:val="448E37BC"/>
    <w:rsid w:val="44C70D28"/>
    <w:rsid w:val="44EE2D37"/>
    <w:rsid w:val="44F2313F"/>
    <w:rsid w:val="44F66A73"/>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6C7D55"/>
    <w:rsid w:val="478E0F31"/>
    <w:rsid w:val="47A30EFE"/>
    <w:rsid w:val="47B952BD"/>
    <w:rsid w:val="47E221AB"/>
    <w:rsid w:val="47FE7D60"/>
    <w:rsid w:val="480C6069"/>
    <w:rsid w:val="48110BF4"/>
    <w:rsid w:val="48200D75"/>
    <w:rsid w:val="48283643"/>
    <w:rsid w:val="484C3C28"/>
    <w:rsid w:val="48516D40"/>
    <w:rsid w:val="486A5C7B"/>
    <w:rsid w:val="48981C51"/>
    <w:rsid w:val="48BB3F94"/>
    <w:rsid w:val="48DE0121"/>
    <w:rsid w:val="48DF2E4F"/>
    <w:rsid w:val="48E03D9C"/>
    <w:rsid w:val="490B656E"/>
    <w:rsid w:val="49374149"/>
    <w:rsid w:val="495C016E"/>
    <w:rsid w:val="49613924"/>
    <w:rsid w:val="496D0F3E"/>
    <w:rsid w:val="49736122"/>
    <w:rsid w:val="49BA69E4"/>
    <w:rsid w:val="49C91669"/>
    <w:rsid w:val="49E12571"/>
    <w:rsid w:val="49E378C6"/>
    <w:rsid w:val="4A2C24D8"/>
    <w:rsid w:val="4A834EBE"/>
    <w:rsid w:val="4AB03CA7"/>
    <w:rsid w:val="4B0913B7"/>
    <w:rsid w:val="4B3040AF"/>
    <w:rsid w:val="4B55574A"/>
    <w:rsid w:val="4B691429"/>
    <w:rsid w:val="4B8B3072"/>
    <w:rsid w:val="4B98035B"/>
    <w:rsid w:val="4BA44E0F"/>
    <w:rsid w:val="4BA90131"/>
    <w:rsid w:val="4BB36285"/>
    <w:rsid w:val="4BB55DB0"/>
    <w:rsid w:val="4BD35EC5"/>
    <w:rsid w:val="4BF55CE7"/>
    <w:rsid w:val="4C1B3C0A"/>
    <w:rsid w:val="4C276F34"/>
    <w:rsid w:val="4C4846F9"/>
    <w:rsid w:val="4CAC205F"/>
    <w:rsid w:val="4CB652AF"/>
    <w:rsid w:val="4CBC728A"/>
    <w:rsid w:val="4CD02623"/>
    <w:rsid w:val="4CFB69A6"/>
    <w:rsid w:val="4D2316EA"/>
    <w:rsid w:val="4D267491"/>
    <w:rsid w:val="4D830955"/>
    <w:rsid w:val="4D976BD3"/>
    <w:rsid w:val="4DBA0BBF"/>
    <w:rsid w:val="4DF641D3"/>
    <w:rsid w:val="4E142C10"/>
    <w:rsid w:val="4E3E017D"/>
    <w:rsid w:val="4E595188"/>
    <w:rsid w:val="4E5C4B6D"/>
    <w:rsid w:val="4E5F59DA"/>
    <w:rsid w:val="4E9C207E"/>
    <w:rsid w:val="4EA44C2A"/>
    <w:rsid w:val="4EB52600"/>
    <w:rsid w:val="4EF04DAF"/>
    <w:rsid w:val="4EF23E87"/>
    <w:rsid w:val="4F2941D5"/>
    <w:rsid w:val="4F6760FD"/>
    <w:rsid w:val="4FBC4EE8"/>
    <w:rsid w:val="4FFC0A94"/>
    <w:rsid w:val="50081059"/>
    <w:rsid w:val="503130FA"/>
    <w:rsid w:val="505C1623"/>
    <w:rsid w:val="509C4E92"/>
    <w:rsid w:val="50EA436D"/>
    <w:rsid w:val="50F36CD9"/>
    <w:rsid w:val="512E641B"/>
    <w:rsid w:val="517D059D"/>
    <w:rsid w:val="5187443E"/>
    <w:rsid w:val="519A289D"/>
    <w:rsid w:val="51FA56D9"/>
    <w:rsid w:val="521723B7"/>
    <w:rsid w:val="523F7F97"/>
    <w:rsid w:val="52FA6FA7"/>
    <w:rsid w:val="53047529"/>
    <w:rsid w:val="530E6302"/>
    <w:rsid w:val="53112356"/>
    <w:rsid w:val="533F2FA2"/>
    <w:rsid w:val="53B9060B"/>
    <w:rsid w:val="54107975"/>
    <w:rsid w:val="5451551D"/>
    <w:rsid w:val="54583B66"/>
    <w:rsid w:val="548B3E8B"/>
    <w:rsid w:val="548C2C0D"/>
    <w:rsid w:val="54D6790A"/>
    <w:rsid w:val="54DF4ADE"/>
    <w:rsid w:val="55205953"/>
    <w:rsid w:val="553A4CBA"/>
    <w:rsid w:val="55622A1E"/>
    <w:rsid w:val="557E6857"/>
    <w:rsid w:val="55880F5E"/>
    <w:rsid w:val="55B81471"/>
    <w:rsid w:val="55C36E95"/>
    <w:rsid w:val="55E15918"/>
    <w:rsid w:val="55E65C45"/>
    <w:rsid w:val="55F9753C"/>
    <w:rsid w:val="55FA344A"/>
    <w:rsid w:val="560E1027"/>
    <w:rsid w:val="5616542D"/>
    <w:rsid w:val="563A460F"/>
    <w:rsid w:val="563F7413"/>
    <w:rsid w:val="564F769C"/>
    <w:rsid w:val="566B6C45"/>
    <w:rsid w:val="56975E59"/>
    <w:rsid w:val="569C350B"/>
    <w:rsid w:val="56BF0EA2"/>
    <w:rsid w:val="56D31AD8"/>
    <w:rsid w:val="56EA3918"/>
    <w:rsid w:val="570C7452"/>
    <w:rsid w:val="57115AD5"/>
    <w:rsid w:val="57460503"/>
    <w:rsid w:val="575272DC"/>
    <w:rsid w:val="575370FA"/>
    <w:rsid w:val="575F0A84"/>
    <w:rsid w:val="57A954D4"/>
    <w:rsid w:val="57B548D9"/>
    <w:rsid w:val="57BD0A78"/>
    <w:rsid w:val="57DC6FDD"/>
    <w:rsid w:val="57FB5F50"/>
    <w:rsid w:val="57FE1547"/>
    <w:rsid w:val="58067D1A"/>
    <w:rsid w:val="586919C2"/>
    <w:rsid w:val="58984B29"/>
    <w:rsid w:val="589E7340"/>
    <w:rsid w:val="58A57278"/>
    <w:rsid w:val="58B03A4A"/>
    <w:rsid w:val="590D5DDF"/>
    <w:rsid w:val="592B53B8"/>
    <w:rsid w:val="596D2668"/>
    <w:rsid w:val="596F34AA"/>
    <w:rsid w:val="59974D7F"/>
    <w:rsid w:val="59C407FC"/>
    <w:rsid w:val="59C754AB"/>
    <w:rsid w:val="59E079AB"/>
    <w:rsid w:val="5A375749"/>
    <w:rsid w:val="5A415385"/>
    <w:rsid w:val="5A5A162D"/>
    <w:rsid w:val="5A6511C0"/>
    <w:rsid w:val="5A726BA0"/>
    <w:rsid w:val="5AB04EA5"/>
    <w:rsid w:val="5AB82FDD"/>
    <w:rsid w:val="5AD3204F"/>
    <w:rsid w:val="5AE94788"/>
    <w:rsid w:val="5B071BBA"/>
    <w:rsid w:val="5B3C55BF"/>
    <w:rsid w:val="5B51558F"/>
    <w:rsid w:val="5B63756F"/>
    <w:rsid w:val="5B725B6B"/>
    <w:rsid w:val="5B885A00"/>
    <w:rsid w:val="5BBE026D"/>
    <w:rsid w:val="5BD439A7"/>
    <w:rsid w:val="5BDF3319"/>
    <w:rsid w:val="5BE14EE6"/>
    <w:rsid w:val="5C7979D9"/>
    <w:rsid w:val="5C991133"/>
    <w:rsid w:val="5C995E25"/>
    <w:rsid w:val="5CA67DE0"/>
    <w:rsid w:val="5D164C61"/>
    <w:rsid w:val="5D471B74"/>
    <w:rsid w:val="5D5144C0"/>
    <w:rsid w:val="5D872BD6"/>
    <w:rsid w:val="5D8D143F"/>
    <w:rsid w:val="5DE263A3"/>
    <w:rsid w:val="5DF13FC8"/>
    <w:rsid w:val="5DFB2BCA"/>
    <w:rsid w:val="5E147908"/>
    <w:rsid w:val="5E2A7858"/>
    <w:rsid w:val="5E511874"/>
    <w:rsid w:val="5E590E05"/>
    <w:rsid w:val="5E790BE8"/>
    <w:rsid w:val="5E973039"/>
    <w:rsid w:val="5EA87B0A"/>
    <w:rsid w:val="5EB119EE"/>
    <w:rsid w:val="5EB467AE"/>
    <w:rsid w:val="5EEF7AA9"/>
    <w:rsid w:val="5F2220CF"/>
    <w:rsid w:val="5F3E2940"/>
    <w:rsid w:val="5F4945D9"/>
    <w:rsid w:val="5F4E4F30"/>
    <w:rsid w:val="5F582C43"/>
    <w:rsid w:val="5F825446"/>
    <w:rsid w:val="5F982B77"/>
    <w:rsid w:val="5FAE4FA2"/>
    <w:rsid w:val="5FBE69BB"/>
    <w:rsid w:val="5FCB4192"/>
    <w:rsid w:val="600E7577"/>
    <w:rsid w:val="601A7A49"/>
    <w:rsid w:val="602A401F"/>
    <w:rsid w:val="602F4794"/>
    <w:rsid w:val="607F4912"/>
    <w:rsid w:val="60881A7C"/>
    <w:rsid w:val="609751E5"/>
    <w:rsid w:val="60A617F0"/>
    <w:rsid w:val="60C10976"/>
    <w:rsid w:val="60E76523"/>
    <w:rsid w:val="61563C9D"/>
    <w:rsid w:val="61C16E82"/>
    <w:rsid w:val="61CB5141"/>
    <w:rsid w:val="61D81A5C"/>
    <w:rsid w:val="61ED67CB"/>
    <w:rsid w:val="61F57CE4"/>
    <w:rsid w:val="61FB7175"/>
    <w:rsid w:val="620D1678"/>
    <w:rsid w:val="624F1D5A"/>
    <w:rsid w:val="62B8321C"/>
    <w:rsid w:val="62CE4A2F"/>
    <w:rsid w:val="630962B4"/>
    <w:rsid w:val="63766DF5"/>
    <w:rsid w:val="63A35F0B"/>
    <w:rsid w:val="63BE6B4B"/>
    <w:rsid w:val="63D91547"/>
    <w:rsid w:val="63DE0C83"/>
    <w:rsid w:val="63E41E32"/>
    <w:rsid w:val="63F6588B"/>
    <w:rsid w:val="6406254B"/>
    <w:rsid w:val="643636FB"/>
    <w:rsid w:val="64522BD2"/>
    <w:rsid w:val="646766DC"/>
    <w:rsid w:val="648A4A7E"/>
    <w:rsid w:val="64A35F70"/>
    <w:rsid w:val="64B43FCC"/>
    <w:rsid w:val="64E010F2"/>
    <w:rsid w:val="6503009D"/>
    <w:rsid w:val="6513309C"/>
    <w:rsid w:val="651E5E20"/>
    <w:rsid w:val="65535A1B"/>
    <w:rsid w:val="65654DFF"/>
    <w:rsid w:val="657E2D0B"/>
    <w:rsid w:val="657F68B0"/>
    <w:rsid w:val="65817DB1"/>
    <w:rsid w:val="65D84197"/>
    <w:rsid w:val="65F12F76"/>
    <w:rsid w:val="65FE510C"/>
    <w:rsid w:val="660E507B"/>
    <w:rsid w:val="66373410"/>
    <w:rsid w:val="663D2A37"/>
    <w:rsid w:val="66576902"/>
    <w:rsid w:val="66931674"/>
    <w:rsid w:val="669369C9"/>
    <w:rsid w:val="66943B2D"/>
    <w:rsid w:val="669D125A"/>
    <w:rsid w:val="66A9581B"/>
    <w:rsid w:val="66D82AA7"/>
    <w:rsid w:val="66E9436F"/>
    <w:rsid w:val="670859AA"/>
    <w:rsid w:val="67165E6D"/>
    <w:rsid w:val="675A1CF7"/>
    <w:rsid w:val="6761194F"/>
    <w:rsid w:val="67626BF9"/>
    <w:rsid w:val="677B09DF"/>
    <w:rsid w:val="677F7400"/>
    <w:rsid w:val="67A01566"/>
    <w:rsid w:val="67A63D55"/>
    <w:rsid w:val="67A84465"/>
    <w:rsid w:val="67AB3B49"/>
    <w:rsid w:val="67AC298E"/>
    <w:rsid w:val="67CF3424"/>
    <w:rsid w:val="67FA2480"/>
    <w:rsid w:val="67FE7A63"/>
    <w:rsid w:val="67FF610F"/>
    <w:rsid w:val="68157B1D"/>
    <w:rsid w:val="683220D0"/>
    <w:rsid w:val="68384317"/>
    <w:rsid w:val="68566A84"/>
    <w:rsid w:val="685F312A"/>
    <w:rsid w:val="68603781"/>
    <w:rsid w:val="68B00DC0"/>
    <w:rsid w:val="68C11A08"/>
    <w:rsid w:val="68CC70D7"/>
    <w:rsid w:val="69085BD7"/>
    <w:rsid w:val="69291ACC"/>
    <w:rsid w:val="693D6722"/>
    <w:rsid w:val="693F57CE"/>
    <w:rsid w:val="69433D4A"/>
    <w:rsid w:val="696B32FD"/>
    <w:rsid w:val="69797C2C"/>
    <w:rsid w:val="69AB78DD"/>
    <w:rsid w:val="69C56B8B"/>
    <w:rsid w:val="69D171A3"/>
    <w:rsid w:val="69D306AC"/>
    <w:rsid w:val="69D74CDC"/>
    <w:rsid w:val="6A206938"/>
    <w:rsid w:val="6A2F1F48"/>
    <w:rsid w:val="6A5A184F"/>
    <w:rsid w:val="6A6C5A40"/>
    <w:rsid w:val="6A7B1FB8"/>
    <w:rsid w:val="6A8D6FE2"/>
    <w:rsid w:val="6A9B47A1"/>
    <w:rsid w:val="6AFA1EBA"/>
    <w:rsid w:val="6AFD2718"/>
    <w:rsid w:val="6AFF14C0"/>
    <w:rsid w:val="6B081F48"/>
    <w:rsid w:val="6B0E13E7"/>
    <w:rsid w:val="6B1301B0"/>
    <w:rsid w:val="6B29781B"/>
    <w:rsid w:val="6B387634"/>
    <w:rsid w:val="6B5068BA"/>
    <w:rsid w:val="6BAC6702"/>
    <w:rsid w:val="6BC65090"/>
    <w:rsid w:val="6BFF0085"/>
    <w:rsid w:val="6C093DE3"/>
    <w:rsid w:val="6C2F5929"/>
    <w:rsid w:val="6C321BE0"/>
    <w:rsid w:val="6C45207A"/>
    <w:rsid w:val="6C5569A0"/>
    <w:rsid w:val="6C954AC2"/>
    <w:rsid w:val="6CBE6C13"/>
    <w:rsid w:val="6D17028B"/>
    <w:rsid w:val="6D2552D8"/>
    <w:rsid w:val="6D302D5D"/>
    <w:rsid w:val="6D3643B1"/>
    <w:rsid w:val="6D3C235D"/>
    <w:rsid w:val="6D4D5A6D"/>
    <w:rsid w:val="6D935AB0"/>
    <w:rsid w:val="6DA62403"/>
    <w:rsid w:val="6DAB624E"/>
    <w:rsid w:val="6DEF387C"/>
    <w:rsid w:val="6DF5498C"/>
    <w:rsid w:val="6E087119"/>
    <w:rsid w:val="6E0A3A07"/>
    <w:rsid w:val="6E372360"/>
    <w:rsid w:val="6E4F724A"/>
    <w:rsid w:val="6E60770D"/>
    <w:rsid w:val="6EB80F65"/>
    <w:rsid w:val="6F037853"/>
    <w:rsid w:val="6F0B0650"/>
    <w:rsid w:val="6F57168C"/>
    <w:rsid w:val="6F7B3028"/>
    <w:rsid w:val="6F844254"/>
    <w:rsid w:val="6FA027BC"/>
    <w:rsid w:val="6FAE0DF3"/>
    <w:rsid w:val="6FC532EA"/>
    <w:rsid w:val="6FC55DFE"/>
    <w:rsid w:val="70020A66"/>
    <w:rsid w:val="701A03F2"/>
    <w:rsid w:val="701B6FD8"/>
    <w:rsid w:val="70206DE6"/>
    <w:rsid w:val="704266E6"/>
    <w:rsid w:val="704F4DC4"/>
    <w:rsid w:val="70541201"/>
    <w:rsid w:val="70544583"/>
    <w:rsid w:val="706A7B0F"/>
    <w:rsid w:val="7080412D"/>
    <w:rsid w:val="70C34169"/>
    <w:rsid w:val="7127456D"/>
    <w:rsid w:val="712914EF"/>
    <w:rsid w:val="716329A8"/>
    <w:rsid w:val="716D1937"/>
    <w:rsid w:val="7174355C"/>
    <w:rsid w:val="717B4AB7"/>
    <w:rsid w:val="717C199B"/>
    <w:rsid w:val="71CC27D8"/>
    <w:rsid w:val="71EF2FA5"/>
    <w:rsid w:val="720E19E5"/>
    <w:rsid w:val="7210341D"/>
    <w:rsid w:val="723E6D09"/>
    <w:rsid w:val="724B6754"/>
    <w:rsid w:val="725F7758"/>
    <w:rsid w:val="7261110F"/>
    <w:rsid w:val="728202A5"/>
    <w:rsid w:val="72AA7A39"/>
    <w:rsid w:val="72C12A96"/>
    <w:rsid w:val="73454B63"/>
    <w:rsid w:val="73624F26"/>
    <w:rsid w:val="736C6888"/>
    <w:rsid w:val="73704456"/>
    <w:rsid w:val="737F4DAF"/>
    <w:rsid w:val="739A74E3"/>
    <w:rsid w:val="739B1EBD"/>
    <w:rsid w:val="73AF18CB"/>
    <w:rsid w:val="73B9425D"/>
    <w:rsid w:val="73BE791B"/>
    <w:rsid w:val="73DD4AD6"/>
    <w:rsid w:val="73EB64E4"/>
    <w:rsid w:val="73ED4A58"/>
    <w:rsid w:val="73F12374"/>
    <w:rsid w:val="740422B3"/>
    <w:rsid w:val="74796ABE"/>
    <w:rsid w:val="74A87093"/>
    <w:rsid w:val="74C80433"/>
    <w:rsid w:val="74E229B4"/>
    <w:rsid w:val="74E9694C"/>
    <w:rsid w:val="74EC26A7"/>
    <w:rsid w:val="75034CF7"/>
    <w:rsid w:val="751412D4"/>
    <w:rsid w:val="754915E5"/>
    <w:rsid w:val="759318B9"/>
    <w:rsid w:val="75DF32A0"/>
    <w:rsid w:val="75ED010F"/>
    <w:rsid w:val="760A43BF"/>
    <w:rsid w:val="761321E0"/>
    <w:rsid w:val="761450E8"/>
    <w:rsid w:val="76264322"/>
    <w:rsid w:val="76284836"/>
    <w:rsid w:val="765D589D"/>
    <w:rsid w:val="76732694"/>
    <w:rsid w:val="76A133C0"/>
    <w:rsid w:val="76D36025"/>
    <w:rsid w:val="77250572"/>
    <w:rsid w:val="772F2936"/>
    <w:rsid w:val="773F3622"/>
    <w:rsid w:val="776B6DA8"/>
    <w:rsid w:val="77913726"/>
    <w:rsid w:val="779D5554"/>
    <w:rsid w:val="77A44A41"/>
    <w:rsid w:val="77AF6C41"/>
    <w:rsid w:val="77B21E06"/>
    <w:rsid w:val="77DE796E"/>
    <w:rsid w:val="77E82DCC"/>
    <w:rsid w:val="78035215"/>
    <w:rsid w:val="780F0912"/>
    <w:rsid w:val="784D5933"/>
    <w:rsid w:val="784F6AB7"/>
    <w:rsid w:val="78823444"/>
    <w:rsid w:val="78BC11E4"/>
    <w:rsid w:val="78D61CB2"/>
    <w:rsid w:val="78D8249D"/>
    <w:rsid w:val="78E83B36"/>
    <w:rsid w:val="78F104FB"/>
    <w:rsid w:val="78FD61AA"/>
    <w:rsid w:val="79057963"/>
    <w:rsid w:val="79493EB1"/>
    <w:rsid w:val="79572CF4"/>
    <w:rsid w:val="797C66CF"/>
    <w:rsid w:val="79A21387"/>
    <w:rsid w:val="79BF3867"/>
    <w:rsid w:val="79F75F0D"/>
    <w:rsid w:val="7A0948B3"/>
    <w:rsid w:val="7A674481"/>
    <w:rsid w:val="7A6D5110"/>
    <w:rsid w:val="7A7550A6"/>
    <w:rsid w:val="7A9131A4"/>
    <w:rsid w:val="7AAF3771"/>
    <w:rsid w:val="7ADA2E94"/>
    <w:rsid w:val="7AE335B2"/>
    <w:rsid w:val="7AEC001A"/>
    <w:rsid w:val="7B475761"/>
    <w:rsid w:val="7B49298E"/>
    <w:rsid w:val="7B7B57F5"/>
    <w:rsid w:val="7B7D3C44"/>
    <w:rsid w:val="7BE208A5"/>
    <w:rsid w:val="7BE3068E"/>
    <w:rsid w:val="7C150EF5"/>
    <w:rsid w:val="7C186968"/>
    <w:rsid w:val="7C465BE7"/>
    <w:rsid w:val="7C4D4686"/>
    <w:rsid w:val="7C862768"/>
    <w:rsid w:val="7C9E2FDD"/>
    <w:rsid w:val="7CAF51D0"/>
    <w:rsid w:val="7CAF6655"/>
    <w:rsid w:val="7CDA0194"/>
    <w:rsid w:val="7D2A73BF"/>
    <w:rsid w:val="7D405935"/>
    <w:rsid w:val="7D5A0870"/>
    <w:rsid w:val="7D6E224F"/>
    <w:rsid w:val="7D87285F"/>
    <w:rsid w:val="7D9B3B81"/>
    <w:rsid w:val="7DA87B6D"/>
    <w:rsid w:val="7DA957CB"/>
    <w:rsid w:val="7DC82C31"/>
    <w:rsid w:val="7DF366F8"/>
    <w:rsid w:val="7E0F7674"/>
    <w:rsid w:val="7E1F6225"/>
    <w:rsid w:val="7E5940F2"/>
    <w:rsid w:val="7E5B35FF"/>
    <w:rsid w:val="7E6916D3"/>
    <w:rsid w:val="7EA33491"/>
    <w:rsid w:val="7EB269F8"/>
    <w:rsid w:val="7EB6487C"/>
    <w:rsid w:val="7EFE1A4D"/>
    <w:rsid w:val="7F06109B"/>
    <w:rsid w:val="7F2137F9"/>
    <w:rsid w:val="7F326B8C"/>
    <w:rsid w:val="7F4F38B1"/>
    <w:rsid w:val="7F504ACB"/>
    <w:rsid w:val="7F5F6399"/>
    <w:rsid w:val="7F874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2"/>
    <w:qFormat/>
    <w:uiPriority w:val="0"/>
    <w:pPr>
      <w:numPr>
        <w:ilvl w:val="2"/>
        <w:numId w:val="1"/>
      </w:numPr>
      <w:spacing w:before="260" w:after="260" w:line="416" w:lineRule="auto"/>
      <w:outlineLvl w:val="2"/>
    </w:pPr>
    <w:rPr>
      <w:sz w:val="24"/>
    </w:r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9">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eastAsia="MS Mincho"/>
      <w:kern w:val="0"/>
      <w:sz w:val="20"/>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eastAsia="MS Mincho"/>
      <w:kern w:val="0"/>
      <w:sz w:val="20"/>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7"/>
    <w:unhideWhenUsed/>
    <w:qFormat/>
    <w:uiPriority w:val="99"/>
    <w:pPr>
      <w:widowControl/>
      <w:spacing w:before="40"/>
      <w:jc w:val="left"/>
    </w:pPr>
    <w:rPr>
      <w:rFonts w:ascii="Consolas" w:hAnsi="Consolas" w:eastAsia="Calibri"/>
      <w:kern w:val="0"/>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Title"/>
    <w:basedOn w:val="1"/>
    <w:next w:val="1"/>
    <w:qFormat/>
    <w:uiPriority w:val="10"/>
    <w:pPr>
      <w:spacing w:before="240" w:after="60"/>
      <w:ind w:left="1701" w:hanging="1701"/>
      <w:outlineLvl w:val="0"/>
    </w:pPr>
    <w:rPr>
      <w:rFonts w:ascii="Arial" w:hAnsi="Arial" w:cs="Arial"/>
      <w:b/>
      <w:bCs/>
      <w:kern w:val="28"/>
    </w:rPr>
  </w:style>
  <w:style w:type="paragraph" w:styleId="56">
    <w:name w:val="annotation subject"/>
    <w:basedOn w:val="25"/>
    <w:next w:val="25"/>
    <w:link w:val="92"/>
    <w:semiHidden/>
    <w:qFormat/>
    <w:uiPriority w:val="0"/>
    <w:pPr>
      <w:widowControl/>
      <w:spacing w:before="40"/>
    </w:pPr>
    <w:rPr>
      <w:rFonts w:eastAsia="MS Mincho"/>
      <w:b/>
      <w:bCs/>
      <w:kern w:val="0"/>
      <w:sz w:val="20"/>
      <w:szCs w:val="20"/>
    </w:rPr>
  </w:style>
  <w:style w:type="table" w:styleId="58">
    <w:name w:val="Table Grid"/>
    <w:basedOn w:val="57"/>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0">
    <w:name w:val="endnote reference"/>
    <w:basedOn w:val="59"/>
    <w:qFormat/>
    <w:uiPriority w:val="0"/>
    <w:rPr>
      <w:vertAlign w:val="superscript"/>
    </w:rPr>
  </w:style>
  <w:style w:type="character" w:styleId="61">
    <w:name w:val="page number"/>
    <w:basedOn w:val="59"/>
    <w:qFormat/>
    <w:uiPriority w:val="0"/>
  </w:style>
  <w:style w:type="character" w:styleId="62">
    <w:name w:val="FollowedHyperlink"/>
    <w:basedOn w:val="59"/>
    <w:qFormat/>
    <w:uiPriority w:val="0"/>
    <w:rPr>
      <w:color w:val="800080"/>
      <w:u w:val="single"/>
    </w:rPr>
  </w:style>
  <w:style w:type="character" w:styleId="63">
    <w:name w:val="Emphasis"/>
    <w:qFormat/>
    <w:uiPriority w:val="0"/>
    <w:rPr>
      <w:i/>
      <w:iCs/>
    </w:rPr>
  </w:style>
  <w:style w:type="character" w:styleId="64">
    <w:name w:val="Hyperlink"/>
    <w:basedOn w:val="59"/>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9"/>
    <w:qFormat/>
    <w:uiPriority w:val="0"/>
    <w:rPr>
      <w:vertAlign w:val="superscript"/>
    </w:rPr>
  </w:style>
  <w:style w:type="character" w:customStyle="1" w:styleId="67">
    <w:name w:val="批注框文本 Char"/>
    <w:basedOn w:val="59"/>
    <w:link w:val="36"/>
    <w:qFormat/>
    <w:uiPriority w:val="0"/>
    <w:rPr>
      <w:kern w:val="2"/>
      <w:sz w:val="18"/>
      <w:szCs w:val="18"/>
    </w:rPr>
  </w:style>
  <w:style w:type="paragraph" w:styleId="68">
    <w:name w:val="List Paragraph"/>
    <w:basedOn w:val="1"/>
    <w:link w:val="273"/>
    <w:unhideWhenUsed/>
    <w:qFormat/>
    <w:uiPriority w:val="34"/>
    <w:pPr>
      <w:ind w:firstLine="420" w:firstLineChars="200"/>
    </w:pPr>
  </w:style>
  <w:style w:type="character" w:customStyle="1" w:styleId="69">
    <w:name w:val="文档结构图 Char"/>
    <w:basedOn w:val="59"/>
    <w:link w:val="24"/>
    <w:qFormat/>
    <w:uiPriority w:val="0"/>
    <w:rPr>
      <w:rFonts w:ascii="宋体"/>
      <w:kern w:val="2"/>
      <w:sz w:val="18"/>
      <w:szCs w:val="18"/>
    </w:rPr>
  </w:style>
  <w:style w:type="character" w:customStyle="1" w:styleId="70">
    <w:name w:val="标题 1 Char"/>
    <w:basedOn w:val="59"/>
    <w:link w:val="2"/>
    <w:qFormat/>
    <w:uiPriority w:val="0"/>
    <w:rPr>
      <w:b/>
      <w:bCs/>
      <w:kern w:val="44"/>
      <w:sz w:val="44"/>
      <w:szCs w:val="44"/>
    </w:rPr>
  </w:style>
  <w:style w:type="character" w:customStyle="1" w:styleId="71">
    <w:name w:val="标题 2 Char"/>
    <w:basedOn w:val="59"/>
    <w:link w:val="3"/>
    <w:qFormat/>
    <w:uiPriority w:val="0"/>
    <w:rPr>
      <w:rFonts w:ascii="Arial" w:hAnsi="Arial" w:eastAsia="MS Mincho"/>
      <w:sz w:val="28"/>
      <w:szCs w:val="32"/>
      <w:lang w:val="en-GB"/>
    </w:rPr>
  </w:style>
  <w:style w:type="character" w:customStyle="1" w:styleId="72">
    <w:name w:val="标题 3 Char"/>
    <w:basedOn w:val="59"/>
    <w:link w:val="4"/>
    <w:qFormat/>
    <w:uiPriority w:val="0"/>
    <w:rPr>
      <w:rFonts w:ascii="Arial" w:hAnsi="Arial" w:eastAsia="MS Mincho"/>
      <w:bCs/>
      <w:kern w:val="2"/>
      <w:sz w:val="24"/>
      <w:szCs w:val="32"/>
    </w:rPr>
  </w:style>
  <w:style w:type="character" w:customStyle="1" w:styleId="73">
    <w:name w:val="标题 4 Char"/>
    <w:basedOn w:val="59"/>
    <w:link w:val="5"/>
    <w:qFormat/>
    <w:uiPriority w:val="0"/>
    <w:rPr>
      <w:rFonts w:ascii="Arial" w:hAnsi="Arial" w:eastAsia="黑体"/>
      <w:b/>
      <w:kern w:val="2"/>
      <w:sz w:val="28"/>
      <w:szCs w:val="24"/>
    </w:rPr>
  </w:style>
  <w:style w:type="character" w:customStyle="1" w:styleId="74">
    <w:name w:val="标题 5 Char"/>
    <w:basedOn w:val="59"/>
    <w:link w:val="6"/>
    <w:qFormat/>
    <w:uiPriority w:val="0"/>
    <w:rPr>
      <w:b/>
      <w:kern w:val="2"/>
      <w:sz w:val="28"/>
      <w:szCs w:val="24"/>
    </w:rPr>
  </w:style>
  <w:style w:type="character" w:customStyle="1" w:styleId="75">
    <w:name w:val="标题 6 Char"/>
    <w:basedOn w:val="59"/>
    <w:link w:val="7"/>
    <w:qFormat/>
    <w:uiPriority w:val="0"/>
    <w:rPr>
      <w:rFonts w:ascii="Arial" w:hAnsi="Arial" w:eastAsia="黑体"/>
      <w:b/>
      <w:kern w:val="2"/>
      <w:sz w:val="24"/>
      <w:szCs w:val="24"/>
    </w:rPr>
  </w:style>
  <w:style w:type="character" w:customStyle="1" w:styleId="76">
    <w:name w:val="标题 7 Char"/>
    <w:basedOn w:val="59"/>
    <w:link w:val="8"/>
    <w:qFormat/>
    <w:uiPriority w:val="0"/>
    <w:rPr>
      <w:b/>
      <w:kern w:val="2"/>
      <w:sz w:val="24"/>
      <w:szCs w:val="24"/>
    </w:rPr>
  </w:style>
  <w:style w:type="character" w:customStyle="1" w:styleId="77">
    <w:name w:val="标题 8 Char"/>
    <w:basedOn w:val="59"/>
    <w:link w:val="9"/>
    <w:qFormat/>
    <w:uiPriority w:val="0"/>
    <w:rPr>
      <w:rFonts w:ascii="Arial" w:hAnsi="Arial" w:eastAsia="黑体"/>
      <w:kern w:val="2"/>
      <w:sz w:val="24"/>
      <w:szCs w:val="24"/>
    </w:rPr>
  </w:style>
  <w:style w:type="character" w:customStyle="1" w:styleId="78">
    <w:name w:val="标题 9 Char"/>
    <w:basedOn w:val="59"/>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eastAsia="MS Mincho"/>
      <w:kern w:val="0"/>
      <w:sz w:val="20"/>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eastAsia="MS Mincho"/>
      <w:b/>
      <w:kern w:val="0"/>
      <w:sz w:val="20"/>
    </w:rPr>
  </w:style>
  <w:style w:type="paragraph" w:customStyle="1" w:styleId="87">
    <w:name w:val="Doc-title"/>
    <w:basedOn w:val="1"/>
    <w:next w:val="83"/>
    <w:link w:val="111"/>
    <w:qFormat/>
    <w:uiPriority w:val="0"/>
    <w:pPr>
      <w:widowControl/>
      <w:ind w:left="1260" w:hanging="1260"/>
      <w:jc w:val="left"/>
    </w:pPr>
    <w:rPr>
      <w:rFonts w:eastAsia="MS Mincho"/>
      <w:kern w:val="0"/>
      <w:sz w:val="20"/>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9"/>
    <w:qFormat/>
    <w:uiPriority w:val="0"/>
    <w:rPr>
      <w:b/>
      <w:bCs/>
      <w:kern w:val="2"/>
      <w:sz w:val="32"/>
      <w:szCs w:val="32"/>
    </w:rPr>
  </w:style>
  <w:style w:type="character" w:customStyle="1" w:styleId="92">
    <w:name w:val="批注主题 Char"/>
    <w:basedOn w:val="93"/>
    <w:link w:val="56"/>
    <w:semiHidden/>
    <w:qFormat/>
    <w:uiPriority w:val="0"/>
    <w:rPr>
      <w:rFonts w:ascii="Arial" w:hAnsi="Arial" w:eastAsia="MS Mincho"/>
      <w:b/>
      <w:bCs/>
      <w:lang w:val="en-GB" w:eastAsia="en-GB"/>
    </w:rPr>
  </w:style>
  <w:style w:type="character" w:customStyle="1" w:styleId="93">
    <w:name w:val="批注文字 Char"/>
    <w:basedOn w:val="59"/>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eastAsia="MS Mincho"/>
      <w:i/>
      <w:kern w:val="0"/>
      <w:sz w:val="18"/>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9"/>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9"/>
    <w:qFormat/>
    <w:uiPriority w:val="0"/>
    <w:rPr>
      <w:b/>
      <w:bCs/>
      <w:kern w:val="44"/>
      <w:sz w:val="44"/>
      <w:szCs w:val="44"/>
    </w:rPr>
  </w:style>
  <w:style w:type="character" w:customStyle="1" w:styleId="111">
    <w:name w:val="Doc-title Char Char"/>
    <w:basedOn w:val="59"/>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9"/>
    <w:link w:val="31"/>
    <w:qFormat/>
    <w:uiPriority w:val="99"/>
    <w:rPr>
      <w:rFonts w:ascii="Consolas" w:hAnsi="Consolas" w:eastAsia="Calibri"/>
      <w:sz w:val="21"/>
      <w:szCs w:val="21"/>
      <w:lang w:eastAsia="en-US"/>
    </w:rPr>
  </w:style>
  <w:style w:type="character" w:customStyle="1" w:styleId="118">
    <w:name w:val="首示例 Char Char"/>
    <w:basedOn w:val="59"/>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9"/>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9"/>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eastAsia="MS Mincho"/>
      <w:b/>
      <w:kern w:val="0"/>
      <w:sz w:val="20"/>
    </w:rPr>
  </w:style>
  <w:style w:type="character" w:customStyle="1" w:styleId="130">
    <w:name w:val="页眉 Char"/>
    <w:link w:val="38"/>
    <w:qFormat/>
    <w:uiPriority w:val="99"/>
    <w:rPr>
      <w:kern w:val="2"/>
      <w:sz w:val="18"/>
      <w:szCs w:val="18"/>
    </w:rPr>
  </w:style>
  <w:style w:type="character" w:customStyle="1" w:styleId="131">
    <w:name w:val="Doc-text2 Char Char"/>
    <w:basedOn w:val="59"/>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9"/>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9"/>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59"/>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59"/>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59"/>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9"/>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59"/>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8"/>
    <w:link w:val="284"/>
    <w:qFormat/>
    <w:uiPriority w:val="0"/>
    <w:pPr>
      <w:numPr>
        <w:ilvl w:val="0"/>
        <w:numId w:val="3"/>
      </w:numPr>
      <w:ind w:firstLine="0" w:firstLineChars="0"/>
    </w:pPr>
    <w:rPr>
      <w:rFonts w:cs="Arial"/>
      <w:color w:val="000000"/>
    </w:rPr>
  </w:style>
  <w:style w:type="paragraph" w:customStyle="1" w:styleId="283">
    <w:name w:val="3GPPObservation"/>
    <w:basedOn w:val="68"/>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19F3-18F6-434C-B161-FC47A6A8E56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Pages>
  <Words>2496</Words>
  <Characters>14229</Characters>
  <Lines>1</Lines>
  <Paragraphs>1</Paragraphs>
  <TotalTime>17</TotalTime>
  <ScaleCrop>false</ScaleCrop>
  <LinksUpToDate>false</LinksUpToDate>
  <CharactersWithSpaces>16692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2022-08-09T07:09:00Z</dcterms:created>
  <dc:creator>10033860</dc:creator>
  <cp:lastModifiedBy>ZTE-Yu Pan</cp:lastModifiedBy>
  <cp:lastPrinted>2113-01-01T00:00:00Z</cp:lastPrinted>
  <dcterms:modified xsi:type="dcterms:W3CDTF">2023-02-16T09:25:32Z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D920FC5338E646878000C80F0F025D68</vt:lpwstr>
  </property>
</Properties>
</file>